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1530"/>
        <w:gridCol w:w="1260"/>
        <w:gridCol w:w="3780"/>
        <w:tblGridChange w:id="0">
          <w:tblGrid>
            <w:gridCol w:w="3510"/>
            <w:gridCol w:w="153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Punnett Squares </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Author:</w:t>
            </w:r>
            <w:r w:rsidDel="00000000" w:rsidR="00000000" w:rsidRPr="00000000">
              <w:rPr>
                <w:rFonts w:ascii="Century Gothic" w:cs="Century Gothic" w:eastAsia="Century Gothic" w:hAnsi="Century Gothic"/>
                <w:sz w:val="24"/>
                <w:szCs w:val="24"/>
                <w:rtl w:val="0"/>
              </w:rPr>
              <w:t xml:space="preserve"> Carolyn Markel</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NRS 3</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Length: </w:t>
            </w:r>
            <w:r w:rsidDel="00000000" w:rsidR="00000000" w:rsidRPr="00000000">
              <w:rPr>
                <w:rFonts w:ascii="Century Gothic" w:cs="Century Gothic" w:eastAsia="Century Gothic" w:hAnsi="Century Gothic"/>
                <w:sz w:val="24"/>
                <w:szCs w:val="24"/>
                <w:rtl w:val="0"/>
              </w:rPr>
              <w:t xml:space="preserve">60-90 minutes</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bookmarkStart w:colFirst="0" w:colLast="0" w:name="_heading=h.gjdgxs" w:id="0"/>
            <w:bookmarkEnd w:id="0"/>
            <w:r w:rsidDel="00000000" w:rsidR="00000000" w:rsidRPr="00000000">
              <w:rPr>
                <w:rFonts w:ascii="Century Gothic" w:cs="Century Gothic" w:eastAsia="Century Gothic" w:hAnsi="Century Gothic"/>
                <w:b w:val="1"/>
                <w:sz w:val="24"/>
                <w:szCs w:val="24"/>
                <w:rtl w:val="0"/>
              </w:rPr>
              <w:t xml:space="preserve">3.R.VA.3</w:t>
            </w:r>
            <w:r w:rsidDel="00000000" w:rsidR="00000000" w:rsidRPr="00000000">
              <w:rPr>
                <w:rFonts w:ascii="Century Gothic" w:cs="Century Gothic" w:eastAsia="Century Gothic" w:hAnsi="Century Gothic"/>
                <w:sz w:val="24"/>
                <w:szCs w:val="24"/>
                <w:rtl w:val="0"/>
              </w:rPr>
              <w:t xml:space="preserve"> - Acquire and accurately use level-appropriate general academic and domain-specific words and phrases</w:t>
            </w:r>
          </w:p>
        </w:tc>
      </w:tr>
      <w:tr>
        <w:trPr>
          <w:cantSplit w:val="0"/>
          <w:trHeight w:val="576" w:hRule="atLeast"/>
          <w:tblHeader w:val="0"/>
        </w:trPr>
        <w:tc>
          <w:tcPr/>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5">
            <w:pPr>
              <w:rPr>
                <w:rFonts w:ascii="Century Gothic" w:cs="Century Gothic" w:eastAsia="Century Gothic" w:hAnsi="Century Gothic"/>
                <w:sz w:val="24"/>
                <w:szCs w:val="24"/>
              </w:rPr>
            </w:pPr>
            <w:bookmarkStart w:colFirst="0" w:colLast="0" w:name="_heading=h.30j0zll" w:id="1"/>
            <w:bookmarkEnd w:id="1"/>
            <w:r w:rsidDel="00000000" w:rsidR="00000000" w:rsidRPr="00000000">
              <w:rPr>
                <w:rFonts w:ascii="Century Gothic" w:cs="Century Gothic" w:eastAsia="Century Gothic" w:hAnsi="Century Gothic"/>
                <w:b w:val="1"/>
                <w:sz w:val="24"/>
                <w:szCs w:val="24"/>
                <w:rtl w:val="0"/>
              </w:rPr>
              <w:t xml:space="preserve">3.R.CI.5</w:t>
            </w:r>
            <w:r w:rsidDel="00000000" w:rsidR="00000000" w:rsidRPr="00000000">
              <w:rPr>
                <w:rFonts w:ascii="Century Gothic" w:cs="Century Gothic" w:eastAsia="Century Gothic" w:hAnsi="Century Gothic"/>
                <w:sz w:val="24"/>
                <w:szCs w:val="24"/>
                <w:rtl w:val="0"/>
              </w:rPr>
              <w:t xml:space="preserve"> - Interpret information presented visually, orally, or quantitatively (e.g., in charts, graphs, diagrams, time lines, animations, or interactive elements on Web pages) and explain how the information contributes to an understanding of the text in which it appears.</w:t>
            </w:r>
          </w:p>
        </w:tc>
      </w:tr>
      <w:tr>
        <w:trPr>
          <w:cantSplit w:val="0"/>
          <w:trHeight w:val="467" w:hRule="atLeast"/>
          <w:tblHeader w:val="0"/>
        </w:trPr>
        <w:tc>
          <w:tcPr/>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 </w:t>
            </w:r>
          </w:p>
        </w:tc>
        <w:tc>
          <w:tcPr>
            <w:gridSpan w:val="3"/>
          </w:tcPr>
          <w:p w:rsidR="00000000" w:rsidDel="00000000" w:rsidP="00000000" w:rsidRDefault="00000000" w:rsidRPr="00000000" w14:paraId="00000019">
            <w:pPr>
              <w:rPr>
                <w:rFonts w:ascii="Century Gothic" w:cs="Century Gothic" w:eastAsia="Century Gothic" w:hAnsi="Century Gothic"/>
                <w:sz w:val="24"/>
                <w:szCs w:val="24"/>
              </w:rPr>
            </w:pPr>
            <w:bookmarkStart w:colFirst="0" w:colLast="0" w:name="_heading=h.1fob9te" w:id="2"/>
            <w:bookmarkEnd w:id="2"/>
            <w:r w:rsidDel="00000000" w:rsidR="00000000" w:rsidRPr="00000000">
              <w:rPr>
                <w:rFonts w:ascii="Century Gothic" w:cs="Century Gothic" w:eastAsia="Century Gothic" w:hAnsi="Century Gothic"/>
                <w:b w:val="1"/>
                <w:sz w:val="24"/>
                <w:szCs w:val="24"/>
                <w:rtl w:val="0"/>
              </w:rPr>
              <w:t xml:space="preserve">3.W.RB.4</w:t>
            </w:r>
            <w:r w:rsidDel="00000000" w:rsidR="00000000" w:rsidRPr="00000000">
              <w:rPr>
                <w:rFonts w:ascii="Century Gothic" w:cs="Century Gothic" w:eastAsia="Century Gothic" w:hAnsi="Century Gothic"/>
                <w:sz w:val="24"/>
                <w:szCs w:val="24"/>
                <w:rtl w:val="0"/>
              </w:rPr>
              <w:t xml:space="preserve"> - Communicate information, data, and observations to apply information learned from reading to actual practice.</w:t>
            </w:r>
          </w:p>
        </w:tc>
      </w:tr>
      <w:tr>
        <w:trPr>
          <w:cantSplit w:val="0"/>
          <w:trHeight w:val="467" w:hRule="atLeast"/>
          <w:tblHeader w:val="0"/>
        </w:trPr>
        <w:tc>
          <w:tcPr/>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 </w:t>
            </w:r>
          </w:p>
        </w:tc>
        <w:tc>
          <w:tcPr>
            <w:gridSpan w:val="3"/>
          </w:tcPr>
          <w:p w:rsidR="00000000" w:rsidDel="00000000" w:rsidP="00000000" w:rsidRDefault="00000000" w:rsidRPr="00000000" w14:paraId="0000001D">
            <w:pPr>
              <w:rPr>
                <w:rFonts w:ascii="Century Gothic" w:cs="Century Gothic" w:eastAsia="Century Gothic" w:hAnsi="Century Gothic"/>
                <w:sz w:val="24"/>
                <w:szCs w:val="24"/>
              </w:rPr>
            </w:pPr>
            <w:bookmarkStart w:colFirst="0" w:colLast="0" w:name="_heading=h.3znysh7" w:id="3"/>
            <w:bookmarkEnd w:id="3"/>
            <w:r w:rsidDel="00000000" w:rsidR="00000000" w:rsidRPr="00000000">
              <w:rPr>
                <w:rFonts w:ascii="Century Gothic" w:cs="Century Gothic" w:eastAsia="Century Gothic" w:hAnsi="Century Gothic"/>
                <w:b w:val="1"/>
                <w:sz w:val="24"/>
                <w:szCs w:val="24"/>
                <w:rtl w:val="0"/>
              </w:rPr>
              <w:t xml:space="preserve">3.S.PK.2</w:t>
            </w:r>
            <w:r w:rsidDel="00000000" w:rsidR="00000000" w:rsidRPr="00000000">
              <w:rPr>
                <w:rFonts w:ascii="Century Gothic" w:cs="Century Gothic" w:eastAsia="Century Gothic" w:hAnsi="Century Gothic"/>
                <w:sz w:val="24"/>
                <w:szCs w:val="24"/>
                <w:rtl w:val="0"/>
              </w:rPr>
              <w:t xml:space="preserve"> - Add audio recordings, charts, graphs, tables, or other visual displays and other support materials to presentations when appropriate to enhance the development of main ideas or themes</w:t>
            </w:r>
          </w:p>
        </w:tc>
      </w:tr>
      <w:tr>
        <w:trPr>
          <w:cantSplit w:val="0"/>
          <w:trHeight w:val="332" w:hRule="atLeast"/>
          <w:tblHeader w:val="0"/>
        </w:trPr>
        <w:tc>
          <w:tcPr>
            <w:gridSpan w:val="4"/>
            <w:shd w:fill="d9d9d9" w:val="clear"/>
          </w:tcPr>
          <w:p w:rsidR="00000000" w:rsidDel="00000000" w:rsidP="00000000" w:rsidRDefault="00000000" w:rsidRPr="00000000" w14:paraId="0000002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6">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27">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29">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2A">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2C">
            <w:pPr>
              <w:rPr>
                <w:rFonts w:ascii="Century Gothic" w:cs="Century Gothic" w:eastAsia="Century Gothic" w:hAnsi="Century Gothic"/>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2D">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2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Explain the meanings of genetics vocabulary words </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Accurately interpret information presented in a Punnett square </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Create a Punnett square when given the genotype information of the parents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Answer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-style questions on Punnett squares accurately  </w:t>
            </w:r>
          </w:p>
          <w:p w:rsidR="00000000" w:rsidDel="00000000" w:rsidP="00000000" w:rsidRDefault="00000000" w:rsidRPr="00000000" w14:paraId="00000034">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3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9">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topic of Punnett squares is extremely relevant to students in terms of understanding why they may have a certain eye color or other traits, and it is also a high-frequency topic on the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exam. </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have the opportunity to learn independently and from each other.</w:t>
            </w:r>
            <w:r w:rsidDel="00000000" w:rsidR="00000000" w:rsidRPr="00000000">
              <w:rPr>
                <w:rtl w:val="0"/>
              </w:rPr>
            </w:r>
          </w:p>
          <w:p w:rsidR="00000000" w:rsidDel="00000000" w:rsidP="00000000" w:rsidRDefault="00000000" w:rsidRPr="00000000" w14:paraId="0000003B">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3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chromosome </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Punnett Square</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allele</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dominant</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recessive</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homogenous</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heterogenous</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genotype</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phenotype</w:t>
            </w:r>
          </w:p>
          <w:p w:rsidR="00000000" w:rsidDel="00000000" w:rsidP="00000000" w:rsidRDefault="00000000" w:rsidRPr="00000000" w14:paraId="00000049">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4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4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Textbooks or online curriculum</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Punnett Square Presentation</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Punnett Square Skeletal Notes</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Genetics Vocabulary Presentation</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Punnett Square Intro Worksheet</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Punnett Square Practice Worksheet</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Introduction: Ask students if there are certain traits that run in their family.  Or are there certain traits that are unique to them?  Explain that through this lesson students will learn how some traits are inherited, and that they will also be covering a topic that frequently appears on the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exam.  </w:t>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Lesson:  Explain the </w:t>
            </w:r>
            <w:r w:rsidDel="00000000" w:rsidR="00000000" w:rsidRPr="00000000">
              <w:rPr>
                <w:rFonts w:ascii="Century Gothic" w:cs="Century Gothic" w:eastAsia="Century Gothic" w:hAnsi="Century Gothic"/>
                <w:sz w:val="24"/>
                <w:szCs w:val="24"/>
                <w:rtl w:val="0"/>
              </w:rPr>
              <w:t xml:space="preserve">concept of a Punnett</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square using the explanatory PowerPoint slides: </w:t>
            </w:r>
            <w:hyperlink r:id="rId1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Punnett Square Presentation</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can take notes using this skeletal notes template: </w:t>
            </w:r>
            <w:hyperlink r:id="rId1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Punnett Square Skeletal Notes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Review key vocabulary using these PowerPoint slides: </w:t>
            </w:r>
            <w:hyperlink r:id="rId1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Genetics Vocabulary Presentation</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Practice 1: Complete this worksheet together on Punnett squares as a class: </w:t>
            </w:r>
            <w:hyperlink r:id="rId18">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Punnett Square Intro Worksheet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After completing the top vocabulary section, </w:t>
            </w:r>
            <w:r w:rsidDel="00000000" w:rsidR="00000000" w:rsidRPr="00000000">
              <w:rPr>
                <w:rFonts w:ascii="Century Gothic" w:cs="Century Gothic" w:eastAsia="Century Gothic" w:hAnsi="Century Gothic"/>
                <w:sz w:val="24"/>
                <w:szCs w:val="24"/>
                <w:rtl w:val="0"/>
              </w:rPr>
              <w:t xml:space="preserve">arrange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in small groups.  Have one student be the “teacher” and quiz the other students on the vocabulary words.  Have students rotate who is the “teacher.”  Complete the rest of the exercises together as a class.</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Application: Have students explain the process of solving a Punnett Square problem (using the problems done together in class from the above bullet point) with a partner.  Students can use a (or draw a new) Punnett Square model to explain the steps.   </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Practice 2:   Students complete this worksheet independently, in partners, or in small groups: </w:t>
            </w:r>
            <w:hyperlink r:id="rId19">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Punnett Square Practice Worksheet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When most students have finished the first 1-2 pages or students get stuck, review the answers together as a class with the students.  Sometimes it is advisable to do this second practice worksheet on the following class day if the students appear to be struggling.  </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Reflection: Ask students to reflect on the following questions, </w:t>
            </w:r>
            <w:r w:rsidDel="00000000" w:rsidR="00000000" w:rsidRPr="00000000">
              <w:rPr>
                <w:rFonts w:ascii="Century Gothic" w:cs="Century Gothic" w:eastAsia="Century Gothic" w:hAnsi="Century Gothic"/>
                <w:sz w:val="24"/>
                <w:szCs w:val="24"/>
                <w:rtl w:val="0"/>
              </w:rPr>
              <w:t xml:space="preserve">using any modality they wish: speaking, writing, drawing, video or audio recording:</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is the hardest part of solving Punnett Squares?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would help you become more confident in solving Punnett Square problems? </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are key factors in genetic inheritance?    </w:t>
            </w:r>
            <w:r w:rsidDel="00000000" w:rsidR="00000000" w:rsidRPr="00000000">
              <w:rPr>
                <w:rtl w:val="0"/>
              </w:rPr>
            </w:r>
          </w:p>
          <w:p w:rsidR="00000000" w:rsidDel="00000000" w:rsidP="00000000" w:rsidRDefault="00000000" w:rsidRPr="00000000" w14:paraId="00000063">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6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20">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6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clarification is a focal point of this lesson.  </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Punnett Square and vocabulary presentation include word and pictorial explanations.  </w:t>
            </w: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6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Solve Punnett Square problems </w:t>
            </w:r>
          </w:p>
          <w:p w:rsidR="00000000" w:rsidDel="00000000" w:rsidP="00000000" w:rsidRDefault="00000000" w:rsidRPr="00000000" w14:paraId="000000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Explain how a Punnett Square is solved to a partner</w:t>
            </w:r>
          </w:p>
          <w:p w:rsidR="00000000" w:rsidDel="00000000" w:rsidP="00000000" w:rsidRDefault="00000000" w:rsidRPr="00000000" w14:paraId="00000070">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74">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21">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When sharing their source with their partner, the student may decide how they want to present their information.  </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the reflection activity, students can complete this activity using any modality that they wish: speaking, writing, drawing, video or audio recording, etc. </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 an extension activity, students can complete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-style questions on genetics/Punnett squares.  </w:t>
            </w:r>
            <w:r w:rsidDel="00000000" w:rsidR="00000000" w:rsidRPr="00000000">
              <w:rPr>
                <w:rtl w:val="0"/>
              </w:rPr>
            </w:r>
          </w:p>
          <w:p w:rsidR="00000000" w:rsidDel="00000000" w:rsidP="00000000" w:rsidRDefault="00000000" w:rsidRPr="00000000" w14:paraId="00000078">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7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lesson was designed to accompany Steck-Vaughn Pre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Preparation Science text (Aztec Paxen Publishing) Lesson “Genetics” (pgs. 46-53).</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Punnett Squares is a very challenging topic for students.  Most </w:t>
            </w:r>
            <w:r w:rsidDel="00000000" w:rsidR="00000000" w:rsidRPr="00000000">
              <w:rPr>
                <w:rFonts w:ascii="Century Gothic" w:cs="Century Gothic" w:eastAsia="Century Gothic" w:hAnsi="Century Gothic"/>
                <w:sz w:val="24"/>
                <w:szCs w:val="24"/>
                <w:rtl w:val="0"/>
              </w:rPr>
              <w:t xml:space="preserve">students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will need additional practice beyond this lesson to become proficient at solving Punnett Square problems.  </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It is possible that students in the class may be adopted and therefore may not have a personal reference point for the introductory question about how traits run in families. The instructor may wish to find an alternate way to introduce this topic.   </w:t>
            </w:r>
            <w:r w:rsidDel="00000000" w:rsidR="00000000" w:rsidRPr="00000000">
              <w:rPr>
                <w:rtl w:val="0"/>
              </w:rPr>
            </w:r>
          </w:p>
        </w:tc>
      </w:tr>
    </w:tbl>
    <w:p w:rsidR="00000000" w:rsidDel="00000000" w:rsidP="00000000" w:rsidRDefault="00000000" w:rsidRPr="00000000" w14:paraId="00000083">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5E4CDC"/>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udlguidelines.cast.org/representation" TargetMode="External"/><Relationship Id="rId11" Type="http://schemas.openxmlformats.org/officeDocument/2006/relationships/hyperlink" Target="https://docs.google.com/document/d/1tOAuv2fWmCmM7urFDxSICfewK11JbTth/copy" TargetMode="External"/><Relationship Id="rId10" Type="http://schemas.openxmlformats.org/officeDocument/2006/relationships/hyperlink" Target="https://docs.google.com/presentation/d/149Q-fcCEPwamXzLtiAYYbUux5P0xTpGg/copy" TargetMode="External"/><Relationship Id="rId21" Type="http://schemas.openxmlformats.org/officeDocument/2006/relationships/hyperlink" Target="https://udlguidelines.cast.org/action-expression" TargetMode="External"/><Relationship Id="rId13" Type="http://schemas.openxmlformats.org/officeDocument/2006/relationships/hyperlink" Target="https://drive.google.com/file/d/1hIPt1QzjkCLYdnfOSOJIiDwqKOR2GAHC/view?usp=sharing" TargetMode="External"/><Relationship Id="rId12" Type="http://schemas.openxmlformats.org/officeDocument/2006/relationships/hyperlink" Target="https://docs.google.com/presentation/d/16mPBjc7Kviv3UzLhUZnW0F4MPX11Gyh4/cop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15" Type="http://schemas.openxmlformats.org/officeDocument/2006/relationships/hyperlink" Target="https://docs.google.com/presentation/d/149Q-fcCEPwamXzLtiAYYbUux5P0xTpGg/copy" TargetMode="External"/><Relationship Id="rId14" Type="http://schemas.openxmlformats.org/officeDocument/2006/relationships/hyperlink" Target="https://drive.google.com/file/d/1wI0ufpG58XA3YoJPDfaLEiFRaWnC8Bzv/view?usp=sharing" TargetMode="External"/><Relationship Id="rId17" Type="http://schemas.openxmlformats.org/officeDocument/2006/relationships/hyperlink" Target="https://docs.google.com/presentation/d/16mPBjc7Kviv3UzLhUZnW0F4MPX11Gyh4/copy" TargetMode="External"/><Relationship Id="rId16" Type="http://schemas.openxmlformats.org/officeDocument/2006/relationships/hyperlink" Target="https://docs.google.com/document/d/1tOAuv2fWmCmM7urFDxSICfewK11JbTth/copy" TargetMode="External"/><Relationship Id="rId5" Type="http://schemas.openxmlformats.org/officeDocument/2006/relationships/styles" Target="styles.xml"/><Relationship Id="rId19" Type="http://schemas.openxmlformats.org/officeDocument/2006/relationships/hyperlink" Target="https://drive.google.com/file/d/1wI0ufpG58XA3YoJPDfaLEiFRaWnC8Bzv/view?usp=sharing" TargetMode="External"/><Relationship Id="rId6" Type="http://schemas.openxmlformats.org/officeDocument/2006/relationships/customXml" Target="../customXML/item1.xml"/><Relationship Id="rId18" Type="http://schemas.openxmlformats.org/officeDocument/2006/relationships/hyperlink" Target="https://drive.google.com/file/d/1hIPt1QzjkCLYdnfOSOJIiDwqKOR2GAHC/view?usp=sharing" TargetMode="External"/><Relationship Id="rId7" Type="http://schemas.openxmlformats.org/officeDocument/2006/relationships/hyperlink" Target="https://excellenceinadulted.org/file/66" TargetMode="External"/><Relationship Id="rId8" Type="http://schemas.openxmlformats.org/officeDocument/2006/relationships/hyperlink" Target="https://www.illinoisworknet.com/DownloadPrint/ILEssentialEmployabilitySkills-Handout.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Dw77v7gkDhHL8msUj5Q0r0L7A==">CgMxLjAyCGguZ2pkZ3hzMgloLjMwajB6bGwyCWguMWZvYjl0ZTIJaC4zem55c2g3OAByITFxdTRaMlE5X0Q5cjVMaktGWC1IOFVqbUdSZ3ptWVFEOA==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2024-09-14T20:26:00Z</dcterms:created>
  <dc:creator>CIAESC</dc:creator>
</cp:coreProperties>
</file>