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02">
            <w:pPr>
              <w:pStyle w:val="Heading3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Foundations of Designing for Equity and Access for ALL Learners</w:t>
              <w:br w:type="textWrapping"/>
              <w:t xml:space="preserve">Summer/Fall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8d08d" w:val="clear"/>
          </w:tcPr>
          <w:p w:rsidR="00000000" w:rsidDel="00000000" w:rsidP="00000000" w:rsidRDefault="00000000" w:rsidRPr="00000000" w14:paraId="00000003">
            <w:pPr>
              <w:pStyle w:val="Heading3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Application period – July 15 - August 13 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Part 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Introduction to Equity, Access, and Effective Teaching and Learning online session –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Self- paced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- August 16 - September 7</w:t>
              <w:br w:type="textWrapping"/>
              <w:br w:type="textWrapping"/>
              <w:t xml:space="preserve">a)Produce a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Video Introduction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on Flipgrid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457200</wp:posOffset>
                  </wp:positionV>
                  <wp:extent cx="661988" cy="917212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>
                            <a:alphaModFix amt="54000"/>
                          </a:blip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9172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b)Define equity and create a new lens to view ourselves, our learners, and our learning environments</w:t>
            </w:r>
          </w:p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b) Explore equity in learning and what it means for you and your students through a variety of resources</w:t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c) Address learning needs through creating a stimulating learning environment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d) Complete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Assignment #1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Exploring Learning Preferences and their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(3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2e9" w:val="clea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Part 2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Let’s Meet Together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Informal Classroom Assessments, Understanding the Learner/Learning Process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bookmarkStart w:colFirst="0" w:colLast="0" w:name="_heading=h.kffwmweo9wmg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September 9, 2021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7:00-8:30pm 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September 10, 2021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9:00-10:30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bookmarkStart w:colFirst="0" w:colLast="0" w:name="_heading=h.d18vs2363fly" w:id="2"/>
            <w:bookmarkEnd w:id="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(1.5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Part 3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Assignment #2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Equity Observation Tool and Infusing Equity into your classroom or program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(3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Part 4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Let’s Meet Together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Introduction to Universal Design for Learning, Effective Instructional Practices 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September 29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2021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- 9:00-10:30 am OR 7:00-8:30pm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(1.5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Part 5: Final Assignment - UDL and Discussion Board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(1 hour)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Total of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5623"/>
                <w:rtl w:val="0"/>
              </w:rPr>
              <w:t xml:space="preserve"> hours of professional development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6B7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 w:val="1"/>
    <w:rsid w:val="00BA6B7C"/>
    <w:pPr>
      <w:keepNext w:val="1"/>
      <w:outlineLvl w:val="2"/>
    </w:pPr>
    <w:rPr>
      <w:rFonts w:ascii="Arial" w:cs="Arial" w:hAnsi="Arial"/>
      <w:b w:val="1"/>
      <w:bCs w:val="1"/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BA6B7C"/>
    <w:rPr>
      <w:rFonts w:ascii="Arial" w:cs="Arial" w:eastAsia="Times New Roman" w:hAnsi="Arial"/>
      <w:b w:val="1"/>
      <w:bCs w:val="1"/>
      <w:sz w:val="32"/>
      <w:szCs w:val="24"/>
    </w:rPr>
  </w:style>
  <w:style w:type="table" w:styleId="TableGrid">
    <w:name w:val="Table Grid"/>
    <w:basedOn w:val="TableNormal"/>
    <w:uiPriority w:val="39"/>
    <w:rsid w:val="007F57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w2WIA5CITlUjnqeBSHdDtaEuw==">AMUW2mXQqi55owfwzfXep9rm88lJuoayqAzHsFp1l+j/dndOEihFZa0qFZE9fkQ3yTAJx+Vl3VXmyYEsM/s2TbLFDHpZoAkoCXFijgLb3rBeOAo9ZBVTpTNQgKnK7dtCfsivYTK7C6gar2TNlFGB+zckJOIIzn8J89Wer3JHEiV2h2JvANAFIZ1qwqSuLVLxrRtUA32wmvcAaq0ehQgNiv0vMYHMYKls+HlgaDy6Gx+NsufcSD9R6hM=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2020-10-02T17:24:00Z</dcterms:created>
  <dc:creator>Goldammer, Sarah</dc:creator>
</cp:coreProperties>
</file>