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Ind w:w="-47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0"/>
        <w:gridCol w:w="2190"/>
        <w:gridCol w:w="1260"/>
        <w:gridCol w:w="3780"/>
        <w:tblGridChange w:id="0">
          <w:tblGrid>
            <w:gridCol w:w="2850"/>
            <w:gridCol w:w="2190"/>
            <w:gridCol w:w="1260"/>
            <w:gridCol w:w="3780"/>
          </w:tblGrid>
        </w:tblGridChange>
      </w:tblGrid>
      <w:tr>
        <w:trPr>
          <w:cantSplit w:val="0"/>
          <w:trHeight w:val="432" w:hRule="atLeast"/>
          <w:tblHeader w:val="0"/>
        </w:trPr>
        <w:tc>
          <w:tcPr>
            <w:gridSpan w:val="3"/>
            <w:shd w:fill="d9d9d9" w:val="clear"/>
            <w:vAlign w:val="center"/>
          </w:tcPr>
          <w:p w:rsidR="00000000" w:rsidDel="00000000" w:rsidP="00000000" w:rsidRDefault="00000000" w:rsidRPr="00000000" w14:paraId="00000002">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Lesson Title</w:t>
            </w:r>
            <w:r w:rsidDel="00000000" w:rsidR="00000000" w:rsidRPr="00000000">
              <w:rPr>
                <w:rFonts w:ascii="Century Gothic" w:cs="Century Gothic" w:eastAsia="Century Gothic" w:hAnsi="Century Gothic"/>
                <w:sz w:val="24"/>
                <w:szCs w:val="24"/>
                <w:rtl w:val="0"/>
              </w:rPr>
              <w:t xml:space="preserve">: Calculating Area of Composite Shapes in Construction</w:t>
            </w:r>
          </w:p>
          <w:p w:rsidR="00000000" w:rsidDel="00000000" w:rsidP="00000000" w:rsidRDefault="00000000" w:rsidRPr="00000000" w14:paraId="00000003">
            <w:pPr>
              <w:rPr>
                <w:rFonts w:ascii="Century Gothic" w:cs="Century Gothic" w:eastAsia="Century Gothic" w:hAnsi="Century Gothic"/>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006">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Level of Lesson: </w:t>
            </w:r>
            <w:r w:rsidDel="00000000" w:rsidR="00000000" w:rsidRPr="00000000">
              <w:rPr>
                <w:rFonts w:ascii="Century Gothic" w:cs="Century Gothic" w:eastAsia="Century Gothic" w:hAnsi="Century Gothic"/>
                <w:sz w:val="24"/>
                <w:szCs w:val="24"/>
                <w:rtl w:val="0"/>
              </w:rPr>
              <w:t xml:space="preserve">ABE/ASE 4</w:t>
            </w:r>
          </w:p>
        </w:tc>
      </w:tr>
      <w:tr>
        <w:trPr>
          <w:cantSplit w:val="0"/>
          <w:trHeight w:val="288" w:hRule="atLeast"/>
          <w:tblHeader w:val="0"/>
        </w:trPr>
        <w:tc>
          <w:tcPr>
            <w:shd w:fill="d9d9d9" w:val="clear"/>
          </w:tcPr>
          <w:p w:rsidR="00000000" w:rsidDel="00000000" w:rsidP="00000000" w:rsidRDefault="00000000" w:rsidRPr="00000000" w14:paraId="00000007">
            <w:pP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Content Area(s)</w:t>
            </w:r>
          </w:p>
        </w:tc>
        <w:tc>
          <w:tcPr>
            <w:gridSpan w:val="3"/>
            <w:shd w:fill="d9d9d9" w:val="clear"/>
          </w:tcPr>
          <w:p w:rsidR="00000000" w:rsidDel="00000000" w:rsidP="00000000" w:rsidRDefault="00000000" w:rsidRPr="00000000" w14:paraId="00000008">
            <w:pP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Targeted IL ABE/ASE and ELP Content Standards </w:t>
            </w:r>
          </w:p>
        </w:tc>
      </w:tr>
      <w:tr>
        <w:trPr>
          <w:cantSplit w:val="0"/>
          <w:trHeight w:val="288" w:hRule="atLeast"/>
          <w:tblHeader w:val="0"/>
        </w:trPr>
        <w:tc>
          <w:tcPr/>
          <w:p w:rsidR="00000000" w:rsidDel="00000000" w:rsidP="00000000" w:rsidRDefault="00000000" w:rsidRPr="00000000" w14:paraId="0000000B">
            <w:pP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Reading</w:t>
            </w:r>
          </w:p>
          <w:p w:rsidR="00000000" w:rsidDel="00000000" w:rsidP="00000000" w:rsidRDefault="00000000" w:rsidRPr="00000000" w14:paraId="0000000C">
            <w:pP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4.R.VA.4</w:t>
            </w:r>
          </w:p>
          <w:p w:rsidR="00000000" w:rsidDel="00000000" w:rsidP="00000000" w:rsidRDefault="00000000" w:rsidRPr="00000000" w14:paraId="0000000D">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E">
            <w:pP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(ELP 8 - HI.8.1)</w:t>
            </w:r>
          </w:p>
        </w:tc>
        <w:tc>
          <w:tcPr>
            <w:gridSpan w:val="3"/>
          </w:tcPr>
          <w:p w:rsidR="00000000" w:rsidDel="00000000" w:rsidP="00000000" w:rsidRDefault="00000000" w:rsidRPr="00000000" w14:paraId="0000000F">
            <w:pPr>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Acquire and use accurately level-appropriate general academic and domain-specific words and phrases…</w:t>
            </w:r>
          </w:p>
        </w:tc>
      </w:tr>
      <w:tr>
        <w:trPr>
          <w:cantSplit w:val="0"/>
          <w:trHeight w:val="288" w:hRule="atLeast"/>
          <w:tblHeader w:val="0"/>
        </w:trPr>
        <w:tc>
          <w:tcPr/>
          <w:p w:rsidR="00000000" w:rsidDel="00000000" w:rsidP="00000000" w:rsidRDefault="00000000" w:rsidRPr="00000000" w14:paraId="00000012">
            <w:pP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2.MD.15b</w:t>
            </w:r>
          </w:p>
          <w:p w:rsidR="00000000" w:rsidDel="00000000" w:rsidP="00000000" w:rsidRDefault="00000000" w:rsidRPr="00000000" w14:paraId="00000013">
            <w:pPr>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14">
            <w:pPr>
              <w:spacing w:line="276"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MWOTL</w:t>
            </w:r>
          </w:p>
        </w:tc>
        <w:tc>
          <w:tcPr>
            <w:gridSpan w:val="3"/>
          </w:tcPr>
          <w:p w:rsidR="00000000" w:rsidDel="00000000" w:rsidP="00000000" w:rsidRDefault="00000000" w:rsidRPr="00000000" w14:paraId="00000015">
            <w:pPr>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Multiply side lengths to find areas of rectangles with whole-number side lengths in the context of solving real world and mathematical problems, and represent whole-number products as rectangular areas in mathematical reasoning.  </w:t>
            </w:r>
          </w:p>
        </w:tc>
      </w:tr>
      <w:tr>
        <w:trPr>
          <w:cantSplit w:val="0"/>
          <w:trHeight w:val="288" w:hRule="atLeast"/>
          <w:tblHeader w:val="0"/>
        </w:trPr>
        <w:tc>
          <w:tcPr/>
          <w:p w:rsidR="00000000" w:rsidDel="00000000" w:rsidP="00000000" w:rsidRDefault="00000000" w:rsidRPr="00000000" w14:paraId="00000018">
            <w:pPr>
              <w:spacing w:line="276"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3.G.8</w:t>
            </w:r>
          </w:p>
          <w:p w:rsidR="00000000" w:rsidDel="00000000" w:rsidP="00000000" w:rsidRDefault="00000000" w:rsidRPr="00000000" w14:paraId="00000019">
            <w:pPr>
              <w:spacing w:line="276" w:lineRule="auto"/>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1A">
            <w:pPr>
              <w:spacing w:line="276"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MWOTL</w:t>
            </w:r>
          </w:p>
          <w:p w:rsidR="00000000" w:rsidDel="00000000" w:rsidP="00000000" w:rsidRDefault="00000000" w:rsidRPr="00000000" w14:paraId="0000001B">
            <w:pPr>
              <w:spacing w:line="276" w:lineRule="auto"/>
              <w:rPr>
                <w:rFonts w:ascii="Century Gothic" w:cs="Century Gothic" w:eastAsia="Century Gothic" w:hAnsi="Century Gothic"/>
                <w:b w:val="1"/>
                <w:bCs w:val="1"/>
                <w:sz w:val="24"/>
                <w:szCs w:val="24"/>
              </w:rPr>
            </w:pPr>
            <w:r w:rsidDel="00000000" w:rsidR="00000000" w:rsidRPr="00000000">
              <w:rPr>
                <w:rtl w:val="0"/>
              </w:rPr>
            </w:r>
          </w:p>
        </w:tc>
        <w:tc>
          <w:tcPr>
            <w:gridSpan w:val="3"/>
          </w:tcPr>
          <w:p w:rsidR="00000000" w:rsidDel="00000000" w:rsidP="00000000" w:rsidRDefault="00000000" w:rsidRPr="00000000" w14:paraId="0000001C">
            <w:pPr>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Find the area of right triangles, other triangles, special quadrilaterals, and polygons by composing into rectangles or decomposing into triangles and other shapes; apply these techniques in the context of solving real-world and mathematical problems.</w:t>
            </w:r>
          </w:p>
        </w:tc>
      </w:tr>
      <w:tr>
        <w:trPr>
          <w:cantSplit w:val="0"/>
          <w:trHeight w:val="332" w:hRule="atLeast"/>
          <w:tblHeader w:val="0"/>
        </w:trPr>
        <w:tc>
          <w:tcPr>
            <w:gridSpan w:val="4"/>
            <w:shd w:fill="d9d9d9" w:val="clear"/>
          </w:tcPr>
          <w:p w:rsidR="00000000" w:rsidDel="00000000" w:rsidP="00000000" w:rsidRDefault="00000000" w:rsidRPr="00000000" w14:paraId="0000001F">
            <w:pP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Integrated </w:t>
            </w:r>
            <w:hyperlink r:id="rId7">
              <w:r w:rsidDel="00000000" w:rsidR="00000000" w:rsidRPr="00000000">
                <w:rPr>
                  <w:rFonts w:ascii="Century Gothic" w:cs="Century Gothic" w:eastAsia="Century Gothic" w:hAnsi="Century Gothic"/>
                  <w:b w:val="1"/>
                  <w:bCs w:val="1"/>
                  <w:color w:val="0563c1"/>
                  <w:sz w:val="24"/>
                  <w:szCs w:val="24"/>
                  <w:u w:val="single"/>
                  <w:rtl w:val="0"/>
                </w:rPr>
                <w:t xml:space="preserve">Essential Employability Skills</w:t>
              </w:r>
            </w:hyperlink>
            <w:r w:rsidDel="00000000" w:rsidR="00000000" w:rsidRPr="00000000">
              <w:rPr>
                <w:rFonts w:ascii="Century Gothic" w:cs="Century Gothic" w:eastAsia="Century Gothic" w:hAnsi="Century Gothic"/>
                <w:b w:val="1"/>
                <w:bCs w:val="1"/>
                <w:sz w:val="24"/>
                <w:szCs w:val="24"/>
                <w:rtl w:val="0"/>
              </w:rPr>
              <w:t xml:space="preserve"> </w:t>
            </w:r>
          </w:p>
        </w:tc>
      </w:tr>
      <w:tr>
        <w:trPr>
          <w:cantSplit w:val="0"/>
          <w:trHeight w:val="258" w:hRule="atLeast"/>
          <w:tblHeader w:val="0"/>
        </w:trPr>
        <w:tc>
          <w:tcPr>
            <w:gridSpan w:val="2"/>
            <w:shd w:fill="ffffff" w:val="clear"/>
          </w:tcPr>
          <w:p w:rsidR="00000000" w:rsidDel="00000000" w:rsidP="00000000" w:rsidRDefault="00000000" w:rsidRPr="00000000" w14:paraId="00000023">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8"/>
                <w:szCs w:val="28"/>
                <w:rtl w:val="0"/>
              </w:rPr>
              <w:t xml:space="preserve">☒</w:t>
            </w:r>
            <w:r w:rsidDel="00000000" w:rsidR="00000000" w:rsidRPr="00000000">
              <w:rPr>
                <w:rFonts w:ascii="Century Gothic" w:cs="Century Gothic" w:eastAsia="Century Gothic" w:hAnsi="Century Gothic"/>
                <w:rtl w:val="0"/>
              </w:rPr>
              <w:t xml:space="preserve"> Personal Ethic </w:t>
            </w:r>
            <w:r w:rsidDel="00000000" w:rsidR="00000000" w:rsidRPr="00000000">
              <w:rPr>
                <w:rFonts w:ascii="Century Gothic" w:cs="Century Gothic" w:eastAsia="Century Gothic" w:hAnsi="Century Gothic"/>
                <w:i w:val="1"/>
                <w:iCs w:val="1"/>
                <w:rtl w:val="0"/>
              </w:rPr>
              <w:t xml:space="preserve">(Integrity, Respect, Perseverance, Positive Attitude)</w:t>
            </w:r>
            <w:r w:rsidDel="00000000" w:rsidR="00000000" w:rsidRPr="00000000">
              <w:rPr>
                <w:rtl w:val="0"/>
              </w:rPr>
            </w:r>
          </w:p>
        </w:tc>
        <w:tc>
          <w:tcPr>
            <w:gridSpan w:val="2"/>
            <w:shd w:fill="ffffff" w:val="clear"/>
          </w:tcPr>
          <w:p w:rsidR="00000000" w:rsidDel="00000000" w:rsidP="00000000" w:rsidRDefault="00000000" w:rsidRPr="00000000" w14:paraId="00000025">
            <w:pPr>
              <w:rPr>
                <w:rFonts w:ascii="Century Gothic" w:cs="Century Gothic" w:eastAsia="Century Gothic" w:hAnsi="Century Gothic"/>
              </w:rPr>
            </w:pPr>
            <w:r w:rsidDel="00000000" w:rsidR="00000000" w:rsidRPr="00000000">
              <w:rPr>
                <w:rFonts w:ascii="Century Gothic" w:cs="Century Gothic" w:eastAsia="Century Gothic" w:hAnsi="Century Gothic"/>
                <w:sz w:val="28"/>
                <w:szCs w:val="28"/>
                <w:rtl w:val="0"/>
              </w:rPr>
              <w:t xml:space="preserve">□ </w:t>
            </w:r>
            <w:r w:rsidDel="00000000" w:rsidR="00000000" w:rsidRPr="00000000">
              <w:rPr>
                <w:rFonts w:ascii="Century Gothic" w:cs="Century Gothic" w:eastAsia="Century Gothic" w:hAnsi="Century Gothic"/>
                <w:rtl w:val="0"/>
              </w:rPr>
              <w:t xml:space="preserve">Teamwork </w:t>
            </w:r>
            <w:r w:rsidDel="00000000" w:rsidR="00000000" w:rsidRPr="00000000">
              <w:rPr>
                <w:rFonts w:ascii="Century Gothic" w:cs="Century Gothic" w:eastAsia="Century Gothic" w:hAnsi="Century Gothic"/>
                <w:i w:val="1"/>
                <w:iCs w:val="1"/>
                <w:rtl w:val="0"/>
              </w:rPr>
              <w:t xml:space="preserve">(Critical Thinking, Effective &amp; Cooperative Work)</w:t>
            </w:r>
            <w:r w:rsidDel="00000000" w:rsidR="00000000" w:rsidRPr="00000000">
              <w:rPr>
                <w:rtl w:val="0"/>
              </w:rPr>
            </w:r>
          </w:p>
          <w:p w:rsidR="00000000" w:rsidDel="00000000" w:rsidP="00000000" w:rsidRDefault="00000000" w:rsidRPr="00000000" w14:paraId="00000026">
            <w:pPr>
              <w:rPr>
                <w:rFonts w:ascii="Century Gothic" w:cs="Century Gothic" w:eastAsia="Century Gothic" w:hAnsi="Century Gothic"/>
                <w:sz w:val="24"/>
                <w:szCs w:val="24"/>
              </w:rPr>
            </w:pPr>
            <w:r w:rsidDel="00000000" w:rsidR="00000000" w:rsidRPr="00000000">
              <w:rPr>
                <w:rtl w:val="0"/>
              </w:rPr>
            </w:r>
          </w:p>
        </w:tc>
      </w:tr>
      <w:tr>
        <w:trPr>
          <w:cantSplit w:val="0"/>
          <w:trHeight w:val="258" w:hRule="atLeast"/>
          <w:tblHeader w:val="0"/>
        </w:trPr>
        <w:tc>
          <w:tcPr>
            <w:gridSpan w:val="2"/>
            <w:shd w:fill="ffffff" w:val="clear"/>
          </w:tcPr>
          <w:p w:rsidR="00000000" w:rsidDel="00000000" w:rsidP="00000000" w:rsidRDefault="00000000" w:rsidRPr="00000000" w14:paraId="00000028">
            <w:pPr>
              <w:rPr>
                <w:rFonts w:ascii="Century Gothic" w:cs="Century Gothic" w:eastAsia="Century Gothic" w:hAnsi="Century Gothic"/>
              </w:rPr>
            </w:pPr>
            <w:r w:rsidDel="00000000" w:rsidR="00000000" w:rsidRPr="00000000">
              <w:rPr>
                <w:rFonts w:ascii="Century Gothic" w:cs="Century Gothic" w:eastAsia="Century Gothic" w:hAnsi="Century Gothic"/>
                <w:sz w:val="28"/>
                <w:szCs w:val="28"/>
                <w:rtl w:val="0"/>
              </w:rPr>
              <w:t xml:space="preserve">☒</w:t>
            </w:r>
            <w:r w:rsidDel="00000000" w:rsidR="00000000" w:rsidRPr="00000000">
              <w:rPr>
                <w:rFonts w:ascii="Century Gothic" w:cs="Century Gothic" w:eastAsia="Century Gothic" w:hAnsi="Century Gothic"/>
                <w:rtl w:val="0"/>
              </w:rPr>
              <w:t xml:space="preserve"> Work Ethic </w:t>
            </w:r>
            <w:r w:rsidDel="00000000" w:rsidR="00000000" w:rsidRPr="00000000">
              <w:rPr>
                <w:rFonts w:ascii="Century Gothic" w:cs="Century Gothic" w:eastAsia="Century Gothic" w:hAnsi="Century Gothic"/>
                <w:i w:val="1"/>
                <w:iCs w:val="1"/>
                <w:rtl w:val="0"/>
              </w:rPr>
              <w:t xml:space="preserve">(Dependability, Professionalism)</w:t>
            </w:r>
            <w:r w:rsidDel="00000000" w:rsidR="00000000" w:rsidRPr="00000000">
              <w:rPr>
                <w:rtl w:val="0"/>
              </w:rPr>
            </w:r>
          </w:p>
          <w:p w:rsidR="00000000" w:rsidDel="00000000" w:rsidP="00000000" w:rsidRDefault="00000000" w:rsidRPr="00000000" w14:paraId="00000029">
            <w:pPr>
              <w:rPr>
                <w:rFonts w:ascii="Century Gothic" w:cs="Century Gothic" w:eastAsia="Century Gothic" w:hAnsi="Century Gothic"/>
                <w:sz w:val="28"/>
                <w:szCs w:val="28"/>
              </w:rPr>
            </w:pPr>
            <w:r w:rsidDel="00000000" w:rsidR="00000000" w:rsidRPr="00000000">
              <w:rPr>
                <w:rtl w:val="0"/>
              </w:rPr>
            </w:r>
          </w:p>
        </w:tc>
        <w:tc>
          <w:tcPr>
            <w:gridSpan w:val="2"/>
            <w:shd w:fill="ffffff" w:val="clear"/>
          </w:tcPr>
          <w:p w:rsidR="00000000" w:rsidDel="00000000" w:rsidP="00000000" w:rsidRDefault="00000000" w:rsidRPr="00000000" w14:paraId="0000002B">
            <w:pPr>
              <w:rPr>
                <w:rFonts w:ascii="Century Gothic" w:cs="Century Gothic" w:eastAsia="Century Gothic" w:hAnsi="Century Gothic"/>
              </w:rPr>
            </w:pPr>
            <w:r w:rsidDel="00000000" w:rsidR="00000000" w:rsidRPr="00000000">
              <w:rPr>
                <w:rFonts w:ascii="Century Gothic" w:cs="Century Gothic" w:eastAsia="Century Gothic" w:hAnsi="Century Gothic"/>
                <w:sz w:val="28"/>
                <w:szCs w:val="28"/>
                <w:rtl w:val="0"/>
              </w:rPr>
              <w:t xml:space="preserve">□</w:t>
            </w:r>
            <w:r w:rsidDel="00000000" w:rsidR="00000000" w:rsidRPr="00000000">
              <w:rPr>
                <w:rFonts w:ascii="Century Gothic" w:cs="Century Gothic" w:eastAsia="Century Gothic" w:hAnsi="Century Gothic"/>
                <w:rtl w:val="0"/>
              </w:rPr>
              <w:t xml:space="preserve">Communication </w:t>
            </w:r>
            <w:r w:rsidDel="00000000" w:rsidR="00000000" w:rsidRPr="00000000">
              <w:rPr>
                <w:rFonts w:ascii="Century Gothic" w:cs="Century Gothic" w:eastAsia="Century Gothic" w:hAnsi="Century Gothic"/>
                <w:i w:val="1"/>
                <w:iCs w:val="1"/>
                <w:rtl w:val="0"/>
              </w:rPr>
              <w:t xml:space="preserve">(Active Listening, Clear Communication)</w:t>
            </w:r>
            <w:r w:rsidDel="00000000" w:rsidR="00000000" w:rsidRPr="00000000">
              <w:rPr>
                <w:rtl w:val="0"/>
              </w:rPr>
            </w:r>
          </w:p>
          <w:p w:rsidR="00000000" w:rsidDel="00000000" w:rsidP="00000000" w:rsidRDefault="00000000" w:rsidRPr="00000000" w14:paraId="0000002C">
            <w:pPr>
              <w:rPr>
                <w:rFonts w:ascii="Century Gothic" w:cs="Century Gothic" w:eastAsia="Century Gothic" w:hAnsi="Century Gothic"/>
                <w:sz w:val="28"/>
                <w:szCs w:val="28"/>
              </w:rPr>
            </w:pPr>
            <w:r w:rsidDel="00000000" w:rsidR="00000000" w:rsidRPr="00000000">
              <w:rPr>
                <w:rtl w:val="0"/>
              </w:rPr>
            </w:r>
          </w:p>
        </w:tc>
      </w:tr>
      <w:tr>
        <w:trPr>
          <w:cantSplit w:val="0"/>
          <w:trHeight w:val="576" w:hRule="atLeast"/>
          <w:tblHeader w:val="0"/>
        </w:trPr>
        <w:tc>
          <w:tcPr>
            <w:gridSpan w:val="4"/>
          </w:tcPr>
          <w:p w:rsidR="00000000" w:rsidDel="00000000" w:rsidP="00000000" w:rsidRDefault="00000000" w:rsidRPr="00000000" w14:paraId="0000002E">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Lesson Objectives </w:t>
            </w:r>
            <w:r w:rsidDel="00000000" w:rsidR="00000000" w:rsidRPr="00000000">
              <w:rPr>
                <w:rFonts w:ascii="Century Gothic" w:cs="Century Gothic" w:eastAsia="Century Gothic" w:hAnsi="Century Gothic"/>
                <w:b w:val="1"/>
                <w:bCs w:val="1"/>
                <w:i w:val="1"/>
                <w:iCs w:val="1"/>
                <w:sz w:val="20"/>
                <w:szCs w:val="20"/>
                <w:rtl w:val="0"/>
              </w:rPr>
              <w:t xml:space="preserve">(Students will be able to)</w:t>
            </w:r>
            <w:r w:rsidDel="00000000" w:rsidR="00000000" w:rsidRPr="00000000">
              <w:rPr>
                <w:rFonts w:ascii="Century Gothic" w:cs="Century Gothic" w:eastAsia="Century Gothic" w:hAnsi="Century Gothic"/>
                <w:i w:val="1"/>
                <w:iCs w:val="1"/>
                <w:sz w:val="20"/>
                <w:szCs w:val="20"/>
                <w:rtl w:val="0"/>
              </w:rPr>
              <w:t xml:space="preserve">:</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2F">
            <w:pPr>
              <w:numPr>
                <w:ilvl w:val="0"/>
                <w:numId w:val="5"/>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Define key vocabulary related to area and the construction industry.</w:t>
            </w:r>
            <w:r w:rsidDel="00000000" w:rsidR="00000000" w:rsidRPr="00000000">
              <w:rPr>
                <w:rtl w:val="0"/>
              </w:rPr>
            </w:r>
          </w:p>
          <w:p w:rsidR="00000000" w:rsidDel="00000000" w:rsidP="00000000" w:rsidRDefault="00000000" w:rsidRPr="00000000" w14:paraId="00000030">
            <w:pPr>
              <w:numPr>
                <w:ilvl w:val="0"/>
                <w:numId w:val="5"/>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Identify 2 dimensional geometric shapes within real life scenarios.</w:t>
            </w:r>
            <w:r w:rsidDel="00000000" w:rsidR="00000000" w:rsidRPr="00000000">
              <w:rPr>
                <w:rtl w:val="0"/>
              </w:rPr>
            </w:r>
          </w:p>
          <w:p w:rsidR="00000000" w:rsidDel="00000000" w:rsidP="00000000" w:rsidRDefault="00000000" w:rsidRPr="00000000" w14:paraId="00000031">
            <w:pPr>
              <w:numPr>
                <w:ilvl w:val="0"/>
                <w:numId w:val="5"/>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Calculate the area of composite shapes: rectangle, square, and right triangle.</w:t>
            </w:r>
            <w:r w:rsidDel="00000000" w:rsidR="00000000" w:rsidRPr="00000000">
              <w:rPr>
                <w:rtl w:val="0"/>
              </w:rPr>
            </w:r>
          </w:p>
          <w:p w:rsidR="00000000" w:rsidDel="00000000" w:rsidP="00000000" w:rsidRDefault="00000000" w:rsidRPr="00000000" w14:paraId="00000032">
            <w:pPr>
              <w:numPr>
                <w:ilvl w:val="0"/>
                <w:numId w:val="5"/>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Communicate the importance of calculating area in the construction industry.</w:t>
            </w:r>
            <w:r w:rsidDel="00000000" w:rsidR="00000000" w:rsidRPr="00000000">
              <w:rPr>
                <w:rtl w:val="0"/>
              </w:rPr>
            </w:r>
          </w:p>
          <w:p w:rsidR="00000000" w:rsidDel="00000000" w:rsidP="00000000" w:rsidRDefault="00000000" w:rsidRPr="00000000" w14:paraId="00000033">
            <w:pPr>
              <w:ind w:left="0" w:firstLine="0"/>
              <w:rPr>
                <w:rFonts w:ascii="Century Gothic" w:cs="Century Gothic" w:eastAsia="Century Gothic" w:hAnsi="Century Gothic"/>
                <w:sz w:val="24"/>
                <w:szCs w:val="24"/>
              </w:rPr>
            </w:pPr>
            <w:r w:rsidDel="00000000" w:rsidR="00000000" w:rsidRPr="00000000">
              <w:rPr>
                <w:rtl w:val="0"/>
              </w:rPr>
            </w:r>
          </w:p>
        </w:tc>
      </w:tr>
      <w:tr>
        <w:trPr>
          <w:cantSplit w:val="0"/>
          <w:trHeight w:val="576" w:hRule="atLeast"/>
          <w:tblHeader w:val="0"/>
        </w:trPr>
        <w:tc>
          <w:tcPr>
            <w:gridSpan w:val="4"/>
            <w:shd w:fill="c5e0b3" w:val="clear"/>
          </w:tcPr>
          <w:p w:rsidR="00000000" w:rsidDel="00000000" w:rsidP="00000000" w:rsidRDefault="00000000" w:rsidRPr="00000000" w14:paraId="00000037">
            <w:pP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Engagement is not “one size fits all.” How are you providing multiple ways to engage all learners? Click on </w:t>
            </w:r>
            <w:hyperlink r:id="rId8">
              <w:r w:rsidDel="00000000" w:rsidR="00000000" w:rsidRPr="00000000">
                <w:rPr>
                  <w:rFonts w:ascii="Century Gothic" w:cs="Century Gothic" w:eastAsia="Century Gothic" w:hAnsi="Century Gothic"/>
                  <w:b w:val="1"/>
                  <w:bCs w:val="1"/>
                  <w:color w:val="00b0f0"/>
                  <w:sz w:val="24"/>
                  <w:szCs w:val="24"/>
                  <w:u w:val="single"/>
                  <w:rtl w:val="0"/>
                </w:rPr>
                <w:t xml:space="preserve">Multiple Means of Engagement</w:t>
              </w:r>
            </w:hyperlink>
            <w:r w:rsidDel="00000000" w:rsidR="00000000" w:rsidRPr="00000000">
              <w:rPr>
                <w:rFonts w:ascii="Century Gothic" w:cs="Century Gothic" w:eastAsia="Century Gothic" w:hAnsi="Century Gothic"/>
                <w:b w:val="1"/>
                <w:bCs w:val="1"/>
                <w:color w:val="00b0f0"/>
                <w:sz w:val="24"/>
                <w:szCs w:val="24"/>
                <w:rtl w:val="0"/>
              </w:rPr>
              <w:t xml:space="preserve"> </w:t>
            </w:r>
            <w:r w:rsidDel="00000000" w:rsidR="00000000" w:rsidRPr="00000000">
              <w:rPr>
                <w:rFonts w:ascii="Century Gothic" w:cs="Century Gothic" w:eastAsia="Century Gothic" w:hAnsi="Century Gothic"/>
                <w:b w:val="1"/>
                <w:bCs w:val="1"/>
                <w:sz w:val="24"/>
                <w:szCs w:val="24"/>
                <w:rtl w:val="0"/>
              </w:rPr>
              <w:t xml:space="preserve">to learn more about providing options for learners and explain how you are including this below:</w:t>
            </w:r>
          </w:p>
          <w:p w:rsidR="00000000" w:rsidDel="00000000" w:rsidP="00000000" w:rsidRDefault="00000000" w:rsidRPr="00000000" w14:paraId="00000038">
            <w:pPr>
              <w:numPr>
                <w:ilvl w:val="0"/>
                <w:numId w:val="4"/>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Warm up involves class discussion and vocabulary review with digital flashcards.</w:t>
            </w:r>
          </w:p>
          <w:p w:rsidR="00000000" w:rsidDel="00000000" w:rsidP="00000000" w:rsidRDefault="00000000" w:rsidRPr="00000000" w14:paraId="00000039">
            <w:pPr>
              <w:numPr>
                <w:ilvl w:val="0"/>
                <w:numId w:val="4"/>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Reflection activity allows for personal writing or conversation with a friend/family member.</w:t>
            </w:r>
          </w:p>
          <w:p w:rsidR="00000000" w:rsidDel="00000000" w:rsidP="00000000" w:rsidRDefault="00000000" w:rsidRPr="00000000" w14:paraId="0000003A">
            <w:pPr>
              <w:ind w:left="0" w:firstLine="0"/>
              <w:rPr>
                <w:rFonts w:ascii="Century Gothic" w:cs="Century Gothic" w:eastAsia="Century Gothic" w:hAnsi="Century Gothic"/>
                <w:sz w:val="24"/>
                <w:szCs w:val="24"/>
              </w:rPr>
            </w:pPr>
            <w:r w:rsidDel="00000000" w:rsidR="00000000" w:rsidRPr="00000000">
              <w:rPr>
                <w:rtl w:val="0"/>
              </w:rPr>
            </w:r>
          </w:p>
        </w:tc>
      </w:tr>
      <w:tr>
        <w:trPr>
          <w:cantSplit w:val="0"/>
          <w:trHeight w:val="576" w:hRule="atLeast"/>
          <w:tblHeader w:val="0"/>
        </w:trPr>
        <w:tc>
          <w:tcPr>
            <w:gridSpan w:val="4"/>
            <w:shd w:fill="ffffff" w:val="clear"/>
          </w:tcPr>
          <w:p w:rsidR="00000000" w:rsidDel="00000000" w:rsidP="00000000" w:rsidRDefault="00000000" w:rsidRPr="00000000" w14:paraId="0000003E">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Key Vocabulary</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3F">
            <w:pPr>
              <w:ind w:left="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0">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area (n); square feet (n); square (n); rectangle (n); right angle (n); right triangle (n); siding (n); drywall (n); plywood (n); carpet (n); wood panelling (n); sod (n); paving (v); asphalt (n)</w:t>
            </w:r>
          </w:p>
          <w:p w:rsidR="00000000" w:rsidDel="00000000" w:rsidP="00000000" w:rsidRDefault="00000000" w:rsidRPr="00000000" w14:paraId="00000041">
            <w:pPr>
              <w:rPr>
                <w:rFonts w:ascii="Century Gothic" w:cs="Century Gothic" w:eastAsia="Century Gothic" w:hAnsi="Century Gothic"/>
                <w:sz w:val="24"/>
                <w:szCs w:val="24"/>
              </w:rPr>
            </w:pPr>
            <w:r w:rsidDel="00000000" w:rsidR="00000000" w:rsidRPr="00000000">
              <w:rPr>
                <w:rtl w:val="0"/>
              </w:rPr>
            </w:r>
          </w:p>
        </w:tc>
      </w:tr>
      <w:tr>
        <w:trPr>
          <w:cantSplit w:val="0"/>
          <w:trHeight w:val="576" w:hRule="atLeast"/>
          <w:tblHeader w:val="0"/>
        </w:trPr>
        <w:tc>
          <w:tcPr>
            <w:gridSpan w:val="4"/>
          </w:tcPr>
          <w:p w:rsidR="00000000" w:rsidDel="00000000" w:rsidP="00000000" w:rsidRDefault="00000000" w:rsidRPr="00000000" w14:paraId="00000045">
            <w:pP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Instructional Materials:</w:t>
            </w:r>
          </w:p>
          <w:p w:rsidR="00000000" w:rsidDel="00000000" w:rsidP="00000000" w:rsidRDefault="00000000" w:rsidRPr="00000000" w14:paraId="00000046">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u w:val="single"/>
                <w:rtl w:val="0"/>
              </w:rPr>
              <w:t xml:space="preserve">Textbooks or online curriculum</w:t>
            </w:r>
            <w:r w:rsidDel="00000000" w:rsidR="00000000" w:rsidRPr="00000000">
              <w:rPr>
                <w:rtl w:val="0"/>
              </w:rPr>
            </w:r>
          </w:p>
          <w:p w:rsidR="00000000" w:rsidDel="00000000" w:rsidP="00000000" w:rsidRDefault="00000000" w:rsidRPr="00000000" w14:paraId="00000047">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8">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Lesson Slide Deck: </w:t>
            </w:r>
            <w:hyperlink r:id="rId9">
              <w:r w:rsidDel="00000000" w:rsidR="00000000" w:rsidRPr="00000000">
                <w:rPr>
                  <w:rFonts w:ascii="Century Gothic" w:cs="Century Gothic" w:eastAsia="Century Gothic" w:hAnsi="Century Gothic"/>
                  <w:color w:val="1155cc"/>
                  <w:sz w:val="24"/>
                  <w:szCs w:val="24"/>
                  <w:u w:val="single"/>
                  <w:rtl w:val="0"/>
                </w:rPr>
                <w:t xml:space="preserve">Calculating Area in Construction Lesson Slides </w:t>
              </w:r>
            </w:hyperlink>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49">
            <w:pPr>
              <w:rPr>
                <w:rFonts w:ascii="Century Gothic" w:cs="Century Gothic" w:eastAsia="Century Gothic" w:hAnsi="Century Gothic"/>
                <w:sz w:val="24"/>
                <w:szCs w:val="24"/>
                <w:u w:val="single"/>
              </w:rPr>
            </w:pPr>
            <w:r w:rsidDel="00000000" w:rsidR="00000000" w:rsidRPr="00000000">
              <w:rPr>
                <w:rtl w:val="0"/>
              </w:rPr>
            </w:r>
          </w:p>
          <w:p w:rsidR="00000000" w:rsidDel="00000000" w:rsidP="00000000" w:rsidRDefault="00000000" w:rsidRPr="00000000" w14:paraId="0000004A">
            <w:pPr>
              <w:rPr>
                <w:rFonts w:ascii="Century Gothic" w:cs="Century Gothic" w:eastAsia="Century Gothic" w:hAnsi="Century Gothic"/>
                <w:sz w:val="24"/>
                <w:szCs w:val="24"/>
                <w:u w:val="single"/>
              </w:rPr>
            </w:pPr>
            <w:r w:rsidDel="00000000" w:rsidR="00000000" w:rsidRPr="00000000">
              <w:rPr>
                <w:rFonts w:ascii="Century Gothic" w:cs="Century Gothic" w:eastAsia="Century Gothic" w:hAnsi="Century Gothic"/>
                <w:sz w:val="24"/>
                <w:szCs w:val="24"/>
                <w:u w:val="single"/>
                <w:rtl w:val="0"/>
              </w:rPr>
              <w:t xml:space="preserve">Online Resources</w:t>
            </w:r>
          </w:p>
          <w:p w:rsidR="00000000" w:rsidDel="00000000" w:rsidP="00000000" w:rsidRDefault="00000000" w:rsidRPr="00000000" w14:paraId="0000004B">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Wordwall Vocabulary Activity: </w:t>
            </w:r>
            <w:hyperlink r:id="rId10">
              <w:r w:rsidDel="00000000" w:rsidR="00000000" w:rsidRPr="00000000">
                <w:rPr>
                  <w:rFonts w:ascii="Century Gothic" w:cs="Century Gothic" w:eastAsia="Century Gothic" w:hAnsi="Century Gothic"/>
                  <w:color w:val="1155cc"/>
                  <w:sz w:val="24"/>
                  <w:szCs w:val="24"/>
                  <w:u w:val="single"/>
                  <w:rtl w:val="0"/>
                </w:rPr>
                <w:t xml:space="preserve">https://wordwall.net/resource/115234904</w:t>
              </w:r>
            </w:hyperlink>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4C">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 Video Lesson: </w:t>
            </w:r>
            <w:hyperlink r:id="rId11">
              <w:r w:rsidDel="00000000" w:rsidR="00000000" w:rsidRPr="00000000">
                <w:rPr>
                  <w:rFonts w:ascii="Century Gothic" w:cs="Century Gothic" w:eastAsia="Century Gothic" w:hAnsi="Century Gothic"/>
                  <w:color w:val="1155cc"/>
                  <w:sz w:val="24"/>
                  <w:szCs w:val="24"/>
                  <w:u w:val="single"/>
                  <w:rtl w:val="0"/>
                </w:rPr>
                <w:t xml:space="preserve">https://youtu.be/mjCcbaQEWAw</w:t>
              </w:r>
            </w:hyperlink>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4D">
            <w:pPr>
              <w:rPr>
                <w:rFonts w:ascii="Century Gothic" w:cs="Century Gothic" w:eastAsia="Century Gothic" w:hAnsi="Century Gothic"/>
                <w:sz w:val="24"/>
                <w:szCs w:val="24"/>
              </w:rPr>
            </w:pPr>
            <w:r w:rsidDel="00000000" w:rsidR="00000000" w:rsidRPr="00000000">
              <w:rPr>
                <w:rtl w:val="0"/>
              </w:rPr>
            </w:r>
          </w:p>
        </w:tc>
      </w:tr>
      <w:tr>
        <w:trPr>
          <w:cantSplit w:val="0"/>
          <w:trHeight w:val="576" w:hRule="atLeast"/>
          <w:tblHeader w:val="0"/>
        </w:trPr>
        <w:tc>
          <w:tcPr>
            <w:gridSpan w:val="4"/>
            <w:shd w:fill="ffffff" w:val="clear"/>
          </w:tcPr>
          <w:p w:rsidR="00000000" w:rsidDel="00000000" w:rsidP="00000000" w:rsidRDefault="00000000" w:rsidRPr="00000000" w14:paraId="00000051">
            <w:pP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Lesson Activities: </w:t>
            </w:r>
          </w:p>
          <w:p w:rsidR="00000000" w:rsidDel="00000000" w:rsidP="00000000" w:rsidRDefault="00000000" w:rsidRPr="00000000" w14:paraId="00000052">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Warm Up:</w:t>
            </w:r>
          </w:p>
          <w:p w:rsidR="00000000" w:rsidDel="00000000" w:rsidP="00000000" w:rsidRDefault="00000000" w:rsidRPr="00000000" w14:paraId="00000053">
            <w:pPr>
              <w:numPr>
                <w:ilvl w:val="0"/>
                <w:numId w:val="7"/>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Begin by asking students to think of any projects they have worked on before that required materials. Give examples of sewing, painting, or building something with wood. Discuss how important it is to plan how much to buy and what difference it would make if they just guessed how much they would need. Ask students if they have ever run out of materials too soon and how that made them feel and how that impacted their project (time, money, frustration). </w:t>
            </w:r>
            <w:r w:rsidDel="00000000" w:rsidR="00000000" w:rsidRPr="00000000">
              <w:rPr>
                <w:rtl w:val="0"/>
              </w:rPr>
            </w:r>
          </w:p>
          <w:p w:rsidR="00000000" w:rsidDel="00000000" w:rsidP="00000000" w:rsidRDefault="00000000" w:rsidRPr="00000000" w14:paraId="00000054">
            <w:pPr>
              <w:numPr>
                <w:ilvl w:val="0"/>
                <w:numId w:val="7"/>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Explain how important this is specifically in the construction industry. Discuss how calculating area is essential to knowing how much of a certain material to use on a project and how failing to do this can lead to a lack of professionalism in the industry. </w:t>
            </w:r>
            <w:r w:rsidDel="00000000" w:rsidR="00000000" w:rsidRPr="00000000">
              <w:rPr>
                <w:rtl w:val="0"/>
              </w:rPr>
            </w:r>
          </w:p>
          <w:p w:rsidR="00000000" w:rsidDel="00000000" w:rsidP="00000000" w:rsidRDefault="00000000" w:rsidRPr="00000000" w14:paraId="00000055">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6">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Vocabulary:</w:t>
            </w:r>
          </w:p>
          <w:p w:rsidR="00000000" w:rsidDel="00000000" w:rsidP="00000000" w:rsidRDefault="00000000" w:rsidRPr="00000000" w14:paraId="00000057">
            <w:pPr>
              <w:numPr>
                <w:ilvl w:val="0"/>
                <w:numId w:val="2"/>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Review key vocabulary words students will need for the lesson. Read through the words on slide 4 and then read their definitions. Do the same for the words on slide 5. Tell students they can pause the video to practice the words, encouraging them to read them out loud, write them down, or walk around the room while pronouncing. Point out the QR code to the online matching and quiz activity for more practice.</w:t>
            </w:r>
          </w:p>
          <w:p w:rsidR="00000000" w:rsidDel="00000000" w:rsidP="00000000" w:rsidRDefault="00000000" w:rsidRPr="00000000" w14:paraId="00000058">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9">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Calculating Area of Composite Shapes:</w:t>
            </w:r>
          </w:p>
          <w:p w:rsidR="00000000" w:rsidDel="00000000" w:rsidP="00000000" w:rsidRDefault="00000000" w:rsidRPr="00000000" w14:paraId="0000005A">
            <w:pPr>
              <w:numPr>
                <w:ilvl w:val="0"/>
                <w:numId w:val="8"/>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Provide the formula for calculating the area of a rectangle (A= L x W) and that of a square (A= s²).</w:t>
            </w:r>
            <w:r w:rsidDel="00000000" w:rsidR="00000000" w:rsidRPr="00000000">
              <w:rPr>
                <w:rtl w:val="0"/>
              </w:rPr>
            </w:r>
          </w:p>
          <w:p w:rsidR="00000000" w:rsidDel="00000000" w:rsidP="00000000" w:rsidRDefault="00000000" w:rsidRPr="00000000" w14:paraId="0000005B">
            <w:pPr>
              <w:numPr>
                <w:ilvl w:val="0"/>
                <w:numId w:val="8"/>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Demonstrate how to complete the calculation with various shapes and measurements on slide 7. </w:t>
            </w:r>
            <w:r w:rsidDel="00000000" w:rsidR="00000000" w:rsidRPr="00000000">
              <w:rPr>
                <w:rtl w:val="0"/>
              </w:rPr>
            </w:r>
          </w:p>
          <w:p w:rsidR="00000000" w:rsidDel="00000000" w:rsidP="00000000" w:rsidRDefault="00000000" w:rsidRPr="00000000" w14:paraId="0000005C">
            <w:pPr>
              <w:numPr>
                <w:ilvl w:val="0"/>
                <w:numId w:val="8"/>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Provide the formula for calculating the area of a right triangle (A= ½ x B X H). Remind students the difference between a right angle and other angles and explain that this formula is only to be used with right angled triangles. Demonstrate how to complete the calculation with example measurements on slide 9. </w:t>
            </w:r>
            <w:r w:rsidDel="00000000" w:rsidR="00000000" w:rsidRPr="00000000">
              <w:rPr>
                <w:rtl w:val="0"/>
              </w:rPr>
            </w:r>
          </w:p>
          <w:p w:rsidR="00000000" w:rsidDel="00000000" w:rsidP="00000000" w:rsidRDefault="00000000" w:rsidRPr="00000000" w14:paraId="0000005D">
            <w:pPr>
              <w:numPr>
                <w:ilvl w:val="0"/>
                <w:numId w:val="8"/>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Discuss how in building projects measurements can often combine shapes. Today we are focusing on calculating the area of composite shapes consisting of rectangles, squares, and triangles. </w:t>
            </w:r>
            <w:r w:rsidDel="00000000" w:rsidR="00000000" w:rsidRPr="00000000">
              <w:rPr>
                <w:rtl w:val="0"/>
              </w:rPr>
            </w:r>
          </w:p>
          <w:p w:rsidR="00000000" w:rsidDel="00000000" w:rsidP="00000000" w:rsidRDefault="00000000" w:rsidRPr="00000000" w14:paraId="0000005E">
            <w:pPr>
              <w:numPr>
                <w:ilvl w:val="0"/>
                <w:numId w:val="8"/>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Work through Example #1 on slide 10. Start by noticing the shapes involved in the paint job. Work on the area of the square first using the formula A= s². Plug in the measurements of the sides to get the area of the square. Next, notice the triangle. One right triangle can be divided into 2 smaller right triangles. Calculate the area of both right triangles by using the formula A= ½ x B X H. </w:t>
            </w:r>
            <w:r w:rsidDel="00000000" w:rsidR="00000000" w:rsidRPr="00000000">
              <w:rPr>
                <w:rtl w:val="0"/>
              </w:rPr>
            </w:r>
          </w:p>
          <w:p w:rsidR="00000000" w:rsidDel="00000000" w:rsidP="00000000" w:rsidRDefault="00000000" w:rsidRPr="00000000" w14:paraId="0000005F">
            <w:pPr>
              <w:numPr>
                <w:ilvl w:val="0"/>
                <w:numId w:val="8"/>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Take all of your final calculations and add them together to get the area of the composite shape. </w:t>
            </w:r>
            <w:r w:rsidDel="00000000" w:rsidR="00000000" w:rsidRPr="00000000">
              <w:rPr>
                <w:rtl w:val="0"/>
              </w:rPr>
            </w:r>
          </w:p>
          <w:p w:rsidR="00000000" w:rsidDel="00000000" w:rsidP="00000000" w:rsidRDefault="00000000" w:rsidRPr="00000000" w14:paraId="00000060">
            <w:pPr>
              <w:numPr>
                <w:ilvl w:val="0"/>
                <w:numId w:val="8"/>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Work through Example #2 in a similar fashion on slide 13. </w:t>
            </w:r>
            <w:r w:rsidDel="00000000" w:rsidR="00000000" w:rsidRPr="00000000">
              <w:rPr>
                <w:rtl w:val="0"/>
              </w:rPr>
            </w:r>
          </w:p>
          <w:p w:rsidR="00000000" w:rsidDel="00000000" w:rsidP="00000000" w:rsidRDefault="00000000" w:rsidRPr="00000000" w14:paraId="00000061">
            <w:pPr>
              <w:numPr>
                <w:ilvl w:val="0"/>
                <w:numId w:val="8"/>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Students will then practice this on their own by completing the </w:t>
            </w:r>
            <w:r w:rsidDel="00000000" w:rsidR="00000000" w:rsidRPr="00000000">
              <w:rPr>
                <w:rFonts w:ascii="Century Gothic" w:cs="Century Gothic" w:eastAsia="Century Gothic" w:hAnsi="Century Gothic"/>
                <w:i w:val="1"/>
                <w:iCs w:val="1"/>
                <w:sz w:val="24"/>
                <w:szCs w:val="24"/>
                <w:rtl w:val="0"/>
              </w:rPr>
              <w:t xml:space="preserve">Calculating Area of Composite Shapes</w:t>
            </w:r>
            <w:r w:rsidDel="00000000" w:rsidR="00000000" w:rsidRPr="00000000">
              <w:rPr>
                <w:rFonts w:ascii="Century Gothic" w:cs="Century Gothic" w:eastAsia="Century Gothic" w:hAnsi="Century Gothic"/>
                <w:sz w:val="24"/>
                <w:szCs w:val="24"/>
                <w:rtl w:val="0"/>
              </w:rPr>
              <w:t xml:space="preserve"> worksheet. Show the word problems on the slides if students do not have access to the worksheet. Encourage students to review with the video at any time to help them complete the problems. Then, review the answer to the first world problem on slide 19. Students can access all of the answers in the answer key with the lesson documents.</w:t>
            </w:r>
          </w:p>
          <w:p w:rsidR="00000000" w:rsidDel="00000000" w:rsidP="00000000" w:rsidRDefault="00000000" w:rsidRPr="00000000" w14:paraId="00000062">
            <w:pPr>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63">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Reflection</w:t>
            </w:r>
          </w:p>
          <w:p w:rsidR="00000000" w:rsidDel="00000000" w:rsidP="00000000" w:rsidRDefault="00000000" w:rsidRPr="00000000" w14:paraId="00000064">
            <w:pPr>
              <w:numPr>
                <w:ilvl w:val="0"/>
                <w:numId w:val="6"/>
              </w:numPr>
              <w:spacing w:after="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As students end the lesson, ask them to reflect on the following questions:</w:t>
            </w:r>
          </w:p>
          <w:p w:rsidR="00000000" w:rsidDel="00000000" w:rsidP="00000000" w:rsidRDefault="00000000" w:rsidRPr="00000000" w14:paraId="00000065">
            <w:pPr>
              <w:widowControl w:val="0"/>
              <w:numPr>
                <w:ilvl w:val="1"/>
                <w:numId w:val="6"/>
              </w:numPr>
              <w:spacing w:after="0" w:before="0" w:line="276" w:lineRule="auto"/>
              <w:ind w:left="144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What other scenarios can you think of where one might need to calculate the area of composite shapes in construction?</w:t>
            </w:r>
          </w:p>
          <w:p w:rsidR="00000000" w:rsidDel="00000000" w:rsidP="00000000" w:rsidRDefault="00000000" w:rsidRPr="00000000" w14:paraId="00000066">
            <w:pPr>
              <w:widowControl w:val="0"/>
              <w:numPr>
                <w:ilvl w:val="1"/>
                <w:numId w:val="6"/>
              </w:numPr>
              <w:spacing w:after="0" w:before="0" w:line="276" w:lineRule="auto"/>
              <w:ind w:left="144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What do you think would happen if this calculation was done incorrectly? What impact could that have on the project?</w:t>
            </w:r>
            <w:r w:rsidDel="00000000" w:rsidR="00000000" w:rsidRPr="00000000">
              <w:rPr>
                <w:rtl w:val="0"/>
              </w:rPr>
            </w:r>
          </w:p>
          <w:p w:rsidR="00000000" w:rsidDel="00000000" w:rsidP="00000000" w:rsidRDefault="00000000" w:rsidRPr="00000000" w14:paraId="00000067">
            <w:pPr>
              <w:widowControl w:val="0"/>
              <w:numPr>
                <w:ilvl w:val="1"/>
                <w:numId w:val="6"/>
              </w:numPr>
              <w:spacing w:after="0" w:before="0" w:line="276" w:lineRule="auto"/>
              <w:ind w:left="144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What other math skills do you think might be important to know in this industry?</w:t>
            </w:r>
            <w:r w:rsidDel="00000000" w:rsidR="00000000" w:rsidRPr="00000000">
              <w:rPr>
                <w:rtl w:val="0"/>
              </w:rPr>
            </w:r>
          </w:p>
          <w:p w:rsidR="00000000" w:rsidDel="00000000" w:rsidP="00000000" w:rsidRDefault="00000000" w:rsidRPr="00000000" w14:paraId="00000068">
            <w:pPr>
              <w:widowControl w:val="0"/>
              <w:numPr>
                <w:ilvl w:val="0"/>
                <w:numId w:val="6"/>
              </w:numPr>
              <w:spacing w:after="240" w:before="0" w:line="276"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Students can write down their answers in a notebook or journal, or discuss with a friend or family member.</w:t>
            </w:r>
          </w:p>
        </w:tc>
      </w:tr>
      <w:tr>
        <w:trPr>
          <w:cantSplit w:val="0"/>
          <w:trHeight w:val="576" w:hRule="atLeast"/>
          <w:tblHeader w:val="0"/>
        </w:trPr>
        <w:tc>
          <w:tcPr>
            <w:gridSpan w:val="4"/>
            <w:shd w:fill="ebd3ea" w:val="clear"/>
          </w:tcPr>
          <w:p w:rsidR="00000000" w:rsidDel="00000000" w:rsidP="00000000" w:rsidRDefault="00000000" w:rsidRPr="00000000" w14:paraId="0000006C">
            <w:pPr>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6D">
            <w:pP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Learners vary in the way that they react to and grasp information that is presented to them. Click on </w:t>
            </w:r>
            <w:hyperlink r:id="rId12">
              <w:r w:rsidDel="00000000" w:rsidR="00000000" w:rsidRPr="00000000">
                <w:rPr>
                  <w:rFonts w:ascii="Century Gothic" w:cs="Century Gothic" w:eastAsia="Century Gothic" w:hAnsi="Century Gothic"/>
                  <w:b w:val="1"/>
                  <w:bCs w:val="1"/>
                  <w:color w:val="0563c1"/>
                  <w:sz w:val="24"/>
                  <w:szCs w:val="24"/>
                  <w:u w:val="single"/>
                  <w:rtl w:val="0"/>
                </w:rPr>
                <w:t xml:space="preserve">Multiple Means of Representation</w:t>
              </w:r>
            </w:hyperlink>
            <w:r w:rsidDel="00000000" w:rsidR="00000000" w:rsidRPr="00000000">
              <w:rPr>
                <w:rFonts w:ascii="Century Gothic" w:cs="Century Gothic" w:eastAsia="Century Gothic" w:hAnsi="Century Gothic"/>
                <w:b w:val="1"/>
                <w:bCs w:val="1"/>
                <w:sz w:val="24"/>
                <w:szCs w:val="24"/>
                <w:rtl w:val="0"/>
              </w:rPr>
              <w:t xml:space="preserve"> to explore ways that you can provide options for representing content and explain how you are including this below: </w:t>
            </w:r>
          </w:p>
          <w:p w:rsidR="00000000" w:rsidDel="00000000" w:rsidP="00000000" w:rsidRDefault="00000000" w:rsidRPr="00000000" w14:paraId="0000006E">
            <w:pPr>
              <w:numPr>
                <w:ilvl w:val="0"/>
                <w:numId w:val="4"/>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Information is also shared in video format with visual slides and diagrams to explain how to calculate surface area for multiple 2D geometric shapes.</w:t>
            </w:r>
          </w:p>
          <w:p w:rsidR="00000000" w:rsidDel="00000000" w:rsidP="00000000" w:rsidRDefault="00000000" w:rsidRPr="00000000" w14:paraId="0000006F">
            <w:pPr>
              <w:numPr>
                <w:ilvl w:val="0"/>
                <w:numId w:val="4"/>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Definitions of key words are given with flashcards as a separate link for students to work through at their own pace.</w:t>
            </w:r>
          </w:p>
          <w:p w:rsidR="00000000" w:rsidDel="00000000" w:rsidP="00000000" w:rsidRDefault="00000000" w:rsidRPr="00000000" w14:paraId="00000070">
            <w:pPr>
              <w:numPr>
                <w:ilvl w:val="0"/>
                <w:numId w:val="4"/>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Teaching videos can be replayed, stopped, or slowed down. The student video has closed captions.</w:t>
            </w:r>
          </w:p>
        </w:tc>
      </w:tr>
      <w:tr>
        <w:trPr>
          <w:cantSplit w:val="0"/>
          <w:trHeight w:val="576" w:hRule="atLeast"/>
          <w:tblHeader w:val="0"/>
        </w:trPr>
        <w:tc>
          <w:tcPr>
            <w:gridSpan w:val="4"/>
          </w:tcPr>
          <w:p w:rsidR="00000000" w:rsidDel="00000000" w:rsidP="00000000" w:rsidRDefault="00000000" w:rsidRPr="00000000" w14:paraId="00000074">
            <w:pP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Performance Tasks:</w:t>
            </w:r>
          </w:p>
          <w:p w:rsidR="00000000" w:rsidDel="00000000" w:rsidP="00000000" w:rsidRDefault="00000000" w:rsidRPr="00000000" w14:paraId="00000075">
            <w:pPr>
              <w:numPr>
                <w:ilvl w:val="0"/>
                <w:numId w:val="1"/>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Learners reflect on the impact geometry and calculating area has on job performance in the construction industry.  Students can write their answers or discuss with a family member or friend.</w:t>
            </w:r>
          </w:p>
          <w:p w:rsidR="00000000" w:rsidDel="00000000" w:rsidP="00000000" w:rsidRDefault="00000000" w:rsidRPr="00000000" w14:paraId="00000076">
            <w:pPr>
              <w:numPr>
                <w:ilvl w:val="0"/>
                <w:numId w:val="1"/>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Learners are encouraged to read, verbalize, or write the definitions of the vocabulary words. Learners can also use the link to practice the flash cards in any way that works for them (with movement, with a family member, etc.)</w:t>
            </w:r>
          </w:p>
          <w:p w:rsidR="00000000" w:rsidDel="00000000" w:rsidP="00000000" w:rsidRDefault="00000000" w:rsidRPr="00000000" w14:paraId="00000077">
            <w:pPr>
              <w:numPr>
                <w:ilvl w:val="0"/>
                <w:numId w:val="1"/>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Learners complete the </w:t>
            </w:r>
            <w:r w:rsidDel="00000000" w:rsidR="00000000" w:rsidRPr="00000000">
              <w:rPr>
                <w:rFonts w:ascii="Century Gothic" w:cs="Century Gothic" w:eastAsia="Century Gothic" w:hAnsi="Century Gothic"/>
                <w:i w:val="1"/>
                <w:iCs w:val="1"/>
                <w:sz w:val="24"/>
                <w:szCs w:val="24"/>
                <w:rtl w:val="0"/>
              </w:rPr>
              <w:t xml:space="preserve">Calculating Area of Composite Shapes</w:t>
            </w:r>
            <w:r w:rsidDel="00000000" w:rsidR="00000000" w:rsidRPr="00000000">
              <w:rPr>
                <w:rFonts w:ascii="Century Gothic" w:cs="Century Gothic" w:eastAsia="Century Gothic" w:hAnsi="Century Gothic"/>
                <w:sz w:val="24"/>
                <w:szCs w:val="24"/>
                <w:rtl w:val="0"/>
              </w:rPr>
              <w:t xml:space="preserve"> worksheet.</w:t>
            </w:r>
          </w:p>
        </w:tc>
      </w:tr>
      <w:tr>
        <w:trPr>
          <w:cantSplit w:val="0"/>
          <w:trHeight w:val="576" w:hRule="atLeast"/>
          <w:tblHeader w:val="0"/>
        </w:trPr>
        <w:tc>
          <w:tcPr>
            <w:gridSpan w:val="4"/>
            <w:shd w:fill="bdd7ee" w:val="clear"/>
          </w:tcPr>
          <w:p w:rsidR="00000000" w:rsidDel="00000000" w:rsidP="00000000" w:rsidRDefault="00000000" w:rsidRPr="00000000" w14:paraId="0000007B">
            <w:pP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Learners best express what they know in different ways. Click on </w:t>
            </w:r>
            <w:hyperlink r:id="rId13">
              <w:r w:rsidDel="00000000" w:rsidR="00000000" w:rsidRPr="00000000">
                <w:rPr>
                  <w:rFonts w:ascii="Century Gothic" w:cs="Century Gothic" w:eastAsia="Century Gothic" w:hAnsi="Century Gothic"/>
                  <w:b w:val="1"/>
                  <w:bCs w:val="1"/>
                  <w:color w:val="0563c1"/>
                  <w:sz w:val="24"/>
                  <w:szCs w:val="24"/>
                  <w:u w:val="single"/>
                  <w:rtl w:val="0"/>
                </w:rPr>
                <w:t xml:space="preserve">Multiple Means of Action &amp; Expression</w:t>
              </w:r>
            </w:hyperlink>
            <w:r w:rsidDel="00000000" w:rsidR="00000000" w:rsidRPr="00000000">
              <w:rPr>
                <w:rFonts w:ascii="Century Gothic" w:cs="Century Gothic" w:eastAsia="Century Gothic" w:hAnsi="Century Gothic"/>
                <w:b w:val="1"/>
                <w:bCs w:val="1"/>
                <w:sz w:val="24"/>
                <w:szCs w:val="24"/>
                <w:rtl w:val="0"/>
              </w:rPr>
              <w:t xml:space="preserve"> to explore ways to offer options for learners and explain how you are doing this below:</w:t>
            </w:r>
          </w:p>
          <w:p w:rsidR="00000000" w:rsidDel="00000000" w:rsidP="00000000" w:rsidRDefault="00000000" w:rsidRPr="00000000" w14:paraId="0000007C">
            <w:pPr>
              <w:numPr>
                <w:ilvl w:val="0"/>
                <w:numId w:val="9"/>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Learners can access the student video on YouTube and complete the activities at their own pace</w:t>
            </w:r>
          </w:p>
          <w:p w:rsidR="00000000" w:rsidDel="00000000" w:rsidP="00000000" w:rsidRDefault="00000000" w:rsidRPr="00000000" w14:paraId="0000007D">
            <w:pPr>
              <w:numPr>
                <w:ilvl w:val="0"/>
                <w:numId w:val="9"/>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Online worksheet materials available</w:t>
            </w:r>
          </w:p>
          <w:p w:rsidR="00000000" w:rsidDel="00000000" w:rsidP="00000000" w:rsidRDefault="00000000" w:rsidRPr="00000000" w14:paraId="0000007E">
            <w:pPr>
              <w:numPr>
                <w:ilvl w:val="0"/>
                <w:numId w:val="9"/>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Learners can practice the vocabulary in multiple modes (flashcards, quiz, games, etc.)</w:t>
            </w:r>
          </w:p>
        </w:tc>
      </w:tr>
      <w:tr>
        <w:trPr>
          <w:cantSplit w:val="0"/>
          <w:trHeight w:val="710" w:hRule="atLeast"/>
          <w:tblHeader w:val="0"/>
        </w:trPr>
        <w:tc>
          <w:tcPr>
            <w:gridSpan w:val="4"/>
            <w:shd w:fill="ffffff" w:val="clear"/>
          </w:tcPr>
          <w:p w:rsidR="00000000" w:rsidDel="00000000" w:rsidP="00000000" w:rsidRDefault="00000000" w:rsidRPr="00000000" w14:paraId="00000082">
            <w:pP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Notes:</w:t>
            </w:r>
          </w:p>
          <w:p w:rsidR="00000000" w:rsidDel="00000000" w:rsidP="00000000" w:rsidRDefault="00000000" w:rsidRPr="00000000" w14:paraId="00000083">
            <w:pPr>
              <w:numPr>
                <w:ilvl w:val="0"/>
                <w:numId w:val="3"/>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student video on YouTube can be shared in the classroom learning management system or sent by text/email as a resource for students who were absent during this lesson. </w:t>
            </w:r>
          </w:p>
        </w:tc>
      </w:tr>
    </w:tbl>
    <w:p w:rsidR="00000000" w:rsidDel="00000000" w:rsidP="00000000" w:rsidRDefault="00000000" w:rsidRPr="00000000" w14:paraId="00000087">
      <w:pPr>
        <w:rPr>
          <w:rFonts w:ascii="Century Gothic" w:cs="Century Gothic" w:eastAsia="Century Gothic" w:hAnsi="Century Gothic"/>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youtu.be/mjCcbaQEWAw" TargetMode="External"/><Relationship Id="rId10" Type="http://schemas.openxmlformats.org/officeDocument/2006/relationships/hyperlink" Target="https://wordwall.net/resource/115234904" TargetMode="External"/><Relationship Id="rId13" Type="http://schemas.openxmlformats.org/officeDocument/2006/relationships/hyperlink" Target="https://udlguidelines.cast.org/action-expression" TargetMode="External"/><Relationship Id="rId12" Type="http://schemas.openxmlformats.org/officeDocument/2006/relationships/hyperlink" Target="https://udlguidelines.cast.org/represent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presentation/d/1rIywACeAMdSVKyqNDD13_hfdi1uej1xg/edit?usp=sharing&amp;ouid=115347111597213422675&amp;rtpof=true&amp;sd=tr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llinoisworknet.com/DownloadPrint/ILEssentialEmployabilitySkills-Handout.pdf" TargetMode="External"/><Relationship Id="rId8" Type="http://schemas.openxmlformats.org/officeDocument/2006/relationships/hyperlink" Target="https://udlguidelines.cast.org/engage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KEQNlbc75nO6Rysn+WNysnBH3w==">CgMxLjA4AHIhMVhLOXpScWNYeUptbkdVVno1c25hUGVKMk1QUF8yUHR2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