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11" w:rsidRPr="00632AF2" w:rsidRDefault="00632AF2">
      <w:pPr>
        <w:rPr>
          <w:rFonts w:ascii="Century Gothic" w:hAnsi="Century Gothic"/>
          <w:b/>
          <w:sz w:val="28"/>
          <w:szCs w:val="28"/>
        </w:rPr>
      </w:pPr>
      <w:r w:rsidRPr="00632AF2">
        <w:rPr>
          <w:rFonts w:ascii="Century Gothic" w:hAnsi="Century Gothic"/>
          <w:b/>
          <w:noProof/>
        </w:rPr>
        <mc:AlternateContent>
          <mc:Choice Requires="wps">
            <w:drawing>
              <wp:anchor distT="45720" distB="45720" distL="114300" distR="114300" simplePos="0" relativeHeight="251659264" behindDoc="0" locked="0" layoutInCell="1" allowOverlap="1">
                <wp:simplePos x="0" y="0"/>
                <wp:positionH relativeFrom="margin">
                  <wp:posOffset>2533650</wp:posOffset>
                </wp:positionH>
                <wp:positionV relativeFrom="paragraph">
                  <wp:posOffset>314325</wp:posOffset>
                </wp:positionV>
                <wp:extent cx="3695700" cy="2276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276475"/>
                        </a:xfrm>
                        <a:prstGeom prst="rect">
                          <a:avLst/>
                        </a:prstGeom>
                        <a:solidFill>
                          <a:srgbClr val="FFFFFF"/>
                        </a:solidFill>
                        <a:ln w="9525">
                          <a:solidFill>
                            <a:srgbClr val="000000"/>
                          </a:solidFill>
                          <a:miter lim="800000"/>
                          <a:headEnd/>
                          <a:tailEnd/>
                        </a:ln>
                      </wps:spPr>
                      <wps:txbx>
                        <w:txbxContent>
                          <w:p w:rsidR="00632AF2" w:rsidRDefault="00632AF2">
                            <w:r>
                              <w:rPr>
                                <w:noProof/>
                              </w:rPr>
                              <w:drawing>
                                <wp:inline distT="0" distB="0" distL="0" distR="0" wp14:anchorId="34B361A9" wp14:editId="60B67180">
                                  <wp:extent cx="3571163"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40550" cy="20391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pt;margin-top:24.75pt;width:291pt;height:17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ozJAIAAEc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">
                <v:textbox>
                  <w:txbxContent>
                    <w:p w:rsidR="00632AF2" w:rsidRDefault="00632AF2">
                      <w:r>
                        <w:rPr>
                          <w:noProof/>
                        </w:rPr>
                        <w:drawing>
                          <wp:inline distT="0" distB="0" distL="0" distR="0" wp14:anchorId="34B361A9" wp14:editId="60B67180">
                            <wp:extent cx="3571163"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40550" cy="2039114"/>
                                    </a:xfrm>
                                    <a:prstGeom prst="rect">
                                      <a:avLst/>
                                    </a:prstGeom>
                                  </pic:spPr>
                                </pic:pic>
                              </a:graphicData>
                            </a:graphic>
                          </wp:inline>
                        </w:drawing>
                      </w:r>
                    </w:p>
                  </w:txbxContent>
                </v:textbox>
                <w10:wrap type="square" anchorx="margin"/>
              </v:shape>
            </w:pict>
          </mc:Fallback>
        </mc:AlternateContent>
      </w:r>
      <w:r w:rsidR="004A0311" w:rsidRPr="00632AF2">
        <w:rPr>
          <w:rFonts w:ascii="Century Gothic" w:hAnsi="Century Gothic"/>
          <w:b/>
          <w:sz w:val="28"/>
          <w:szCs w:val="28"/>
        </w:rPr>
        <w:t xml:space="preserve">Choice Boards    </w:t>
      </w:r>
    </w:p>
    <w:p w:rsidR="004A0311" w:rsidRPr="004A0311" w:rsidRDefault="004A0311">
      <w:pPr>
        <w:rPr>
          <w:rFonts w:ascii="Century Gothic" w:hAnsi="Century Gothic"/>
          <w:b/>
        </w:rPr>
      </w:pPr>
      <w:r>
        <w:rPr>
          <w:rFonts w:ascii="Century Gothic" w:hAnsi="Century Gothic"/>
          <w:b/>
        </w:rPr>
        <w:t xml:space="preserve">                       </w:t>
      </w:r>
    </w:p>
    <w:p w:rsidR="004A0311" w:rsidRPr="004A0311" w:rsidRDefault="004A0311">
      <w:pPr>
        <w:rPr>
          <w:rFonts w:ascii="Century Gothic" w:hAnsi="Century Gothic"/>
        </w:rPr>
      </w:pPr>
      <w:r>
        <w:rPr>
          <w:rFonts w:ascii="Century Gothic" w:hAnsi="Century Gothic"/>
        </w:rPr>
        <w:t>Giving students choices allows for individual differences in learning, encourages autonomy, and provides the learner the power to choose “how” to learn. It’s an effective instructional practice whether you’re in-person or virtual. It gives students opportunities to practice and master concepts taught in class. Choice Boards is an engaging strategy to help simplify lesson planning and addresses learning variability.</w:t>
      </w:r>
    </w:p>
    <w:p w:rsidR="004A0311" w:rsidRDefault="004A0311" w:rsidP="004A0311">
      <w:pPr>
        <w:spacing w:after="0" w:line="240" w:lineRule="auto"/>
        <w:rPr>
          <w:rFonts w:ascii="Century Gothic" w:eastAsia="Times New Roman" w:hAnsi="Century Gothic" w:cs="Arial"/>
          <w:color w:val="000000"/>
          <w:sz w:val="24"/>
          <w:szCs w:val="24"/>
        </w:rPr>
      </w:pPr>
      <w:r w:rsidRPr="004A0311">
        <w:rPr>
          <w:rFonts w:ascii="Century Gothic" w:eastAsia="Times New Roman" w:hAnsi="Century Gothic" w:cs="Arial"/>
          <w:color w:val="000000"/>
          <w:sz w:val="24"/>
          <w:szCs w:val="24"/>
        </w:rPr>
        <w:t xml:space="preserve">Choice boards are graphic organizers that comprise of different amounts of squares. Each square is an activity. The activities help students learn or practice </w:t>
      </w:r>
      <w:bookmarkStart w:id="0" w:name="_GoBack"/>
      <w:bookmarkEnd w:id="0"/>
      <w:r w:rsidRPr="004A0311">
        <w:rPr>
          <w:rFonts w:ascii="Century Gothic" w:eastAsia="Times New Roman" w:hAnsi="Century Gothic" w:cs="Arial"/>
          <w:color w:val="000000"/>
          <w:sz w:val="24"/>
          <w:szCs w:val="24"/>
        </w:rPr>
        <w:t>a primary concept, while allowing them a choice. Students can be instructed to choose one or more of these activities to complete. They can progress from one activity to another either in an organized or random order.</w:t>
      </w:r>
    </w:p>
    <w:p w:rsidR="00632AF2" w:rsidRDefault="00632AF2" w:rsidP="004A0311">
      <w:pPr>
        <w:spacing w:after="0" w:line="240" w:lineRule="auto"/>
        <w:rPr>
          <w:rFonts w:ascii="Century Gothic" w:eastAsia="Times New Roman" w:hAnsi="Century Gothic" w:cs="Arial"/>
          <w:color w:val="000000"/>
          <w:sz w:val="24"/>
          <w:szCs w:val="24"/>
        </w:rPr>
      </w:pPr>
    </w:p>
    <w:p w:rsidR="00632AF2" w:rsidRPr="004A0311" w:rsidRDefault="00632AF2" w:rsidP="004A0311">
      <w:pPr>
        <w:spacing w:after="0" w:line="240" w:lineRule="auto"/>
        <w:rPr>
          <w:rFonts w:ascii="Century Gothic" w:eastAsia="Times New Roman" w:hAnsi="Century Gothic" w:cs="Arial"/>
          <w:color w:val="000000"/>
          <w:sz w:val="24"/>
          <w:szCs w:val="24"/>
        </w:rPr>
      </w:pPr>
      <w:hyperlink r:id="rId6" w:anchor="slide=id.g5607941679_0_0" w:history="1">
        <w:r w:rsidRPr="00632AF2">
          <w:rPr>
            <w:rStyle w:val="Hyperlink"/>
            <w:rFonts w:ascii="Century Gothic" w:eastAsia="Times New Roman" w:hAnsi="Century Gothic" w:cs="Arial"/>
            <w:sz w:val="24"/>
            <w:szCs w:val="24"/>
          </w:rPr>
          <w:t>Click here to get a google doc template</w:t>
        </w:r>
      </w:hyperlink>
    </w:p>
    <w:p w:rsidR="00632AF2" w:rsidRDefault="00632AF2" w:rsidP="004A0311">
      <w:pPr>
        <w:spacing w:after="0" w:line="240" w:lineRule="auto"/>
        <w:rPr>
          <w:rFonts w:ascii="Arial" w:eastAsia="Times New Roman" w:hAnsi="Arial" w:cs="Arial"/>
          <w:b/>
          <w:bCs/>
          <w:color w:val="000000"/>
          <w:sz w:val="18"/>
          <w:szCs w:val="18"/>
        </w:rPr>
      </w:pPr>
    </w:p>
    <w:p w:rsidR="00632AF2" w:rsidRDefault="00632AF2" w:rsidP="004A0311">
      <w:pPr>
        <w:spacing w:after="0" w:line="240" w:lineRule="auto"/>
        <w:rPr>
          <w:rFonts w:ascii="Arial" w:eastAsia="Times New Roman" w:hAnsi="Arial" w:cs="Arial"/>
          <w:b/>
          <w:bCs/>
          <w:color w:val="000000"/>
          <w:sz w:val="18"/>
          <w:szCs w:val="18"/>
        </w:rPr>
      </w:pPr>
    </w:p>
    <w:p w:rsidR="004A0311" w:rsidRDefault="004A0311" w:rsidP="004A0311">
      <w:pPr>
        <w:spacing w:after="0" w:line="240" w:lineRule="auto"/>
        <w:rPr>
          <w:rFonts w:ascii="Century Gothic" w:eastAsia="Times New Roman" w:hAnsi="Century Gothic" w:cs="Arial"/>
          <w:color w:val="000000"/>
          <w:sz w:val="24"/>
          <w:szCs w:val="24"/>
        </w:rPr>
      </w:pPr>
      <w:r w:rsidRPr="004A0311">
        <w:rPr>
          <w:rFonts w:ascii="Century Gothic" w:eastAsia="Times New Roman" w:hAnsi="Century Gothic" w:cs="Arial"/>
          <w:color w:val="000000"/>
          <w:sz w:val="24"/>
          <w:szCs w:val="24"/>
        </w:rPr>
        <w:t xml:space="preserve">The following are tips to using Choice Boards </w:t>
      </w:r>
      <w:r w:rsidR="00632AF2">
        <w:rPr>
          <w:rFonts w:ascii="Century Gothic" w:eastAsia="Times New Roman" w:hAnsi="Century Gothic" w:cs="Arial"/>
          <w:color w:val="000000"/>
          <w:sz w:val="24"/>
          <w:szCs w:val="24"/>
        </w:rPr>
        <w:t>to design for variability</w:t>
      </w:r>
      <w:r w:rsidRPr="004A0311">
        <w:rPr>
          <w:rFonts w:ascii="Century Gothic" w:eastAsia="Times New Roman" w:hAnsi="Century Gothic" w:cs="Arial"/>
          <w:color w:val="000000"/>
          <w:sz w:val="24"/>
          <w:szCs w:val="24"/>
        </w:rPr>
        <w:t>:</w:t>
      </w:r>
    </w:p>
    <w:p w:rsidR="00632AF2" w:rsidRPr="004A0311" w:rsidRDefault="00632AF2" w:rsidP="004A0311">
      <w:pPr>
        <w:spacing w:after="0" w:line="240" w:lineRule="auto"/>
        <w:rPr>
          <w:rFonts w:ascii="Century Gothic" w:eastAsia="Times New Roman" w:hAnsi="Century Gothic" w:cs="Arial"/>
          <w:color w:val="000000"/>
          <w:sz w:val="24"/>
          <w:szCs w:val="24"/>
        </w:rPr>
      </w:pPr>
    </w:p>
    <w:p w:rsidR="004A0311" w:rsidRPr="004A0311" w:rsidRDefault="004A0311" w:rsidP="004A0311">
      <w:pPr>
        <w:numPr>
          <w:ilvl w:val="0"/>
          <w:numId w:val="1"/>
        </w:numPr>
        <w:spacing w:after="0" w:line="240" w:lineRule="auto"/>
        <w:ind w:left="300"/>
        <w:rPr>
          <w:rFonts w:ascii="Century Gothic" w:eastAsia="Times New Roman" w:hAnsi="Century Gothic" w:cs="Arial"/>
          <w:color w:val="000000"/>
          <w:sz w:val="24"/>
          <w:szCs w:val="24"/>
        </w:rPr>
      </w:pPr>
      <w:r w:rsidRPr="004A0311">
        <w:rPr>
          <w:rFonts w:ascii="Century Gothic" w:eastAsia="Times New Roman" w:hAnsi="Century Gothic" w:cs="Arial"/>
          <w:color w:val="000000"/>
          <w:sz w:val="24"/>
          <w:szCs w:val="24"/>
        </w:rPr>
        <w:t>When creating the boards be sure to have activities that cater to every learning style such as visual, auditory, read-write and kinesthetic.</w:t>
      </w:r>
    </w:p>
    <w:p w:rsidR="004A0311" w:rsidRPr="004A0311" w:rsidRDefault="004A0311" w:rsidP="004A0311">
      <w:pPr>
        <w:numPr>
          <w:ilvl w:val="0"/>
          <w:numId w:val="1"/>
        </w:numPr>
        <w:spacing w:after="0" w:line="240" w:lineRule="auto"/>
        <w:ind w:left="300"/>
        <w:rPr>
          <w:rFonts w:ascii="Century Gothic" w:eastAsia="Times New Roman" w:hAnsi="Century Gothic" w:cs="Arial"/>
          <w:color w:val="000000"/>
          <w:sz w:val="24"/>
          <w:szCs w:val="24"/>
        </w:rPr>
      </w:pPr>
      <w:r w:rsidRPr="004A0311">
        <w:rPr>
          <w:rFonts w:ascii="Century Gothic" w:eastAsia="Times New Roman" w:hAnsi="Century Gothic" w:cs="Arial"/>
          <w:color w:val="000000"/>
          <w:sz w:val="24"/>
          <w:szCs w:val="24"/>
        </w:rPr>
        <w:t>Boards can be created for weekly tasks, homework, projects and even assessments. Detailed instructions and requirements can be given for each task. An extra credit slot can be included to encourage students to better their learning.</w:t>
      </w:r>
    </w:p>
    <w:p w:rsidR="004A0311" w:rsidRDefault="004A0311" w:rsidP="004A0311">
      <w:pPr>
        <w:numPr>
          <w:ilvl w:val="0"/>
          <w:numId w:val="1"/>
        </w:numPr>
        <w:spacing w:after="0" w:line="240" w:lineRule="auto"/>
        <w:ind w:left="300"/>
        <w:rPr>
          <w:rFonts w:ascii="Century Gothic" w:eastAsia="Times New Roman" w:hAnsi="Century Gothic" w:cs="Arial"/>
          <w:color w:val="000000"/>
          <w:sz w:val="24"/>
          <w:szCs w:val="24"/>
        </w:rPr>
      </w:pPr>
      <w:r w:rsidRPr="004A0311">
        <w:rPr>
          <w:rFonts w:ascii="Century Gothic" w:eastAsia="Times New Roman" w:hAnsi="Century Gothic" w:cs="Arial"/>
          <w:color w:val="000000"/>
          <w:sz w:val="24"/>
          <w:szCs w:val="24"/>
        </w:rPr>
        <w:t>Tic-Tac-Toe: Encourage students to perform a set of three activities so that it forms a Tic-Tac-Toe. Students can choose these activities horizontally, vertically or diagonally. In this method the “FREE CHOICE” square can be in the middle.</w:t>
      </w:r>
    </w:p>
    <w:p w:rsidR="00632AF2" w:rsidRPr="004A0311" w:rsidRDefault="00632AF2" w:rsidP="00632AF2">
      <w:pPr>
        <w:spacing w:after="0" w:line="240" w:lineRule="auto"/>
        <w:ind w:left="300"/>
        <w:rPr>
          <w:rFonts w:ascii="Century Gothic" w:eastAsia="Times New Roman" w:hAnsi="Century Gothic" w:cs="Arial"/>
          <w:color w:val="000000"/>
          <w:sz w:val="24"/>
          <w:szCs w:val="24"/>
        </w:rPr>
      </w:pPr>
    </w:p>
    <w:p w:rsidR="004A0311" w:rsidRDefault="004A0311" w:rsidP="00632AF2">
      <w:pPr>
        <w:spacing w:after="0" w:line="240" w:lineRule="auto"/>
        <w:rPr>
          <w:rFonts w:ascii="Century Gothic" w:eastAsia="Times New Roman" w:hAnsi="Century Gothic" w:cs="Arial"/>
          <w:color w:val="000000"/>
          <w:sz w:val="24"/>
          <w:szCs w:val="24"/>
        </w:rPr>
      </w:pPr>
      <w:r w:rsidRPr="004A0311">
        <w:rPr>
          <w:rFonts w:ascii="Century Gothic" w:eastAsia="Times New Roman" w:hAnsi="Century Gothic" w:cs="Arial"/>
          <w:color w:val="000000"/>
          <w:sz w:val="24"/>
          <w:szCs w:val="24"/>
        </w:rPr>
        <w:t>Use of Choice Boards help to improve student motivation, engagement and learning by empowering them to learn to the best of their ability.</w:t>
      </w:r>
    </w:p>
    <w:p w:rsidR="00632AF2" w:rsidRDefault="00632AF2" w:rsidP="00632AF2">
      <w:pPr>
        <w:spacing w:after="0" w:line="240" w:lineRule="auto"/>
        <w:rPr>
          <w:rFonts w:ascii="Century Gothic" w:hAnsi="Century Gothic"/>
          <w:sz w:val="24"/>
          <w:szCs w:val="24"/>
        </w:rPr>
      </w:pPr>
    </w:p>
    <w:p w:rsidR="00632AF2" w:rsidRPr="00632AF2" w:rsidRDefault="00632AF2" w:rsidP="00632AF2">
      <w:pPr>
        <w:spacing w:after="0" w:line="240" w:lineRule="auto"/>
        <w:rPr>
          <w:rFonts w:ascii="Century Gothic" w:hAnsi="Century Gothic"/>
          <w:sz w:val="24"/>
          <w:szCs w:val="24"/>
        </w:rPr>
      </w:pPr>
      <w:r>
        <w:rPr>
          <w:rFonts w:ascii="Century Gothic" w:hAnsi="Century Gothic"/>
          <w:sz w:val="24"/>
          <w:szCs w:val="24"/>
        </w:rPr>
        <w:t xml:space="preserve">Credit: </w:t>
      </w:r>
      <w:r w:rsidRPr="00632AF2">
        <w:rPr>
          <w:rFonts w:ascii="Century Gothic" w:hAnsi="Century Gothic"/>
          <w:sz w:val="24"/>
          <w:szCs w:val="24"/>
        </w:rPr>
        <w:t>ShakeUpLearning.com</w:t>
      </w:r>
    </w:p>
    <w:sectPr w:rsidR="00632AF2" w:rsidRPr="00632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E32B7"/>
    <w:multiLevelType w:val="multilevel"/>
    <w:tmpl w:val="AB3A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11"/>
    <w:rsid w:val="002A02A8"/>
    <w:rsid w:val="004A0311"/>
    <w:rsid w:val="0063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6DCE"/>
  <w15:chartTrackingRefBased/>
  <w15:docId w15:val="{EB309A6B-D568-44E4-ABA2-EEA98244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311"/>
    <w:rPr>
      <w:color w:val="0000FF"/>
      <w:u w:val="single"/>
    </w:rPr>
  </w:style>
  <w:style w:type="character" w:styleId="UnresolvedMention">
    <w:name w:val="Unresolved Mention"/>
    <w:basedOn w:val="DefaultParagraphFont"/>
    <w:uiPriority w:val="99"/>
    <w:semiHidden/>
    <w:unhideWhenUsed/>
    <w:rsid w:val="004A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2714">
      <w:bodyDiv w:val="1"/>
      <w:marLeft w:val="0"/>
      <w:marRight w:val="0"/>
      <w:marTop w:val="0"/>
      <w:marBottom w:val="0"/>
      <w:divBdr>
        <w:top w:val="none" w:sz="0" w:space="0" w:color="auto"/>
        <w:left w:val="none" w:sz="0" w:space="0" w:color="auto"/>
        <w:bottom w:val="none" w:sz="0" w:space="0" w:color="auto"/>
        <w:right w:val="none" w:sz="0" w:space="0" w:color="auto"/>
      </w:divBdr>
    </w:div>
    <w:div w:id="18212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c9_I3kbhFlUbTyVaXiVQtM2_uHtoO0ftKzmSMT3pTz4/ed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Goldammer, Sarah</dc:creator>
  <cp:keywords/>
  <dc:description/>
  <cp:lastModifiedBy>Goldammer, Sarah</cp:lastModifiedBy>
  <cp:revision>1</cp:revision>
  <dcterms:created xsi:type="dcterms:W3CDTF">2020-08-18T16:21:00Z</dcterms:created>
  <dcterms:modified xsi:type="dcterms:W3CDTF">2020-08-18T16:37:00Z</dcterms:modified>
</cp:coreProperties>
</file>