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080.0" w:type="dxa"/>
        <w:jc w:val="left"/>
        <w:tblInd w:w="-47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50"/>
        <w:gridCol w:w="2190"/>
        <w:gridCol w:w="1260"/>
        <w:gridCol w:w="3780"/>
        <w:tblGridChange w:id="0">
          <w:tblGrid>
            <w:gridCol w:w="2850"/>
            <w:gridCol w:w="2190"/>
            <w:gridCol w:w="1260"/>
            <w:gridCol w:w="3780"/>
          </w:tblGrid>
        </w:tblGridChange>
      </w:tblGrid>
      <w:tr>
        <w:trPr>
          <w:cantSplit w:val="0"/>
          <w:trHeight w:val="432" w:hRule="atLeast"/>
          <w:tblHeader w:val="0"/>
        </w:trPr>
        <w:tc>
          <w:tcPr>
            <w:gridSpan w:val="3"/>
            <w:shd w:fill="d9d9d9" w:val="clear"/>
            <w:vAlign w:val="center"/>
          </w:tcPr>
          <w:p w:rsidR="00000000" w:rsidDel="00000000" w:rsidP="00000000" w:rsidRDefault="00000000" w:rsidRPr="00000000" w14:paraId="0000000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bCs w:val="1"/>
                <w:sz w:val="24"/>
                <w:szCs w:val="24"/>
                <w:rtl w:val="0"/>
              </w:rPr>
              <w:t xml:space="preserve">Lesson Title</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0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Ratios and Proportions in Nutrition Labels </w:t>
            </w:r>
          </w:p>
        </w:tc>
        <w:tc>
          <w:tcPr>
            <w:shd w:fill="d9d9d9" w:val="clear"/>
            <w:vAlign w:val="center"/>
          </w:tcPr>
          <w:p w:rsidR="00000000" w:rsidDel="00000000" w:rsidP="00000000" w:rsidRDefault="00000000" w:rsidRPr="00000000" w14:paraId="0000000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bCs w:val="1"/>
                <w:sz w:val="24"/>
                <w:szCs w:val="24"/>
                <w:rtl w:val="0"/>
              </w:rPr>
              <w:t xml:space="preserve">Level of Lesson: </w:t>
            </w:r>
            <w:r w:rsidDel="00000000" w:rsidR="00000000" w:rsidRPr="00000000">
              <w:rPr>
                <w:rFonts w:ascii="Century Gothic" w:cs="Century Gothic" w:eastAsia="Century Gothic" w:hAnsi="Century Gothic"/>
                <w:sz w:val="24"/>
                <w:szCs w:val="24"/>
                <w:rtl w:val="0"/>
              </w:rPr>
              <w:t xml:space="preserve">ABE/ASE NRS 4</w:t>
            </w:r>
          </w:p>
        </w:tc>
      </w:tr>
      <w:tr>
        <w:trPr>
          <w:cantSplit w:val="0"/>
          <w:trHeight w:val="288" w:hRule="atLeast"/>
          <w:tblHeader w:val="0"/>
        </w:trPr>
        <w:tc>
          <w:tcPr>
            <w:shd w:fill="d9d9d9" w:val="clear"/>
          </w:tcPr>
          <w:p w:rsidR="00000000" w:rsidDel="00000000" w:rsidP="00000000" w:rsidRDefault="00000000" w:rsidRPr="00000000" w14:paraId="00000007">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Content Area(s)</w:t>
            </w:r>
          </w:p>
        </w:tc>
        <w:tc>
          <w:tcPr>
            <w:gridSpan w:val="3"/>
            <w:shd w:fill="d9d9d9" w:val="clear"/>
          </w:tcPr>
          <w:p w:rsidR="00000000" w:rsidDel="00000000" w:rsidP="00000000" w:rsidRDefault="00000000" w:rsidRPr="00000000" w14:paraId="00000008">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Targeted IL ABE/ASE and ELP Content Standards </w:t>
            </w:r>
          </w:p>
        </w:tc>
      </w:tr>
      <w:tr>
        <w:trPr>
          <w:cantSplit w:val="0"/>
          <w:trHeight w:val="288" w:hRule="atLeast"/>
          <w:tblHeader w:val="0"/>
        </w:trPr>
        <w:tc>
          <w:tcPr/>
          <w:p w:rsidR="00000000" w:rsidDel="00000000" w:rsidP="00000000" w:rsidRDefault="00000000" w:rsidRPr="00000000" w14:paraId="0000000B">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Vocabulary</w:t>
            </w:r>
          </w:p>
          <w:p w:rsidR="00000000" w:rsidDel="00000000" w:rsidP="00000000" w:rsidRDefault="00000000" w:rsidRPr="00000000" w14:paraId="0000000C">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0D">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(ELP 8- HI.8.1)</w:t>
            </w:r>
          </w:p>
        </w:tc>
        <w:tc>
          <w:tcPr>
            <w:gridSpan w:val="3"/>
          </w:tcPr>
          <w:p w:rsidR="00000000" w:rsidDel="00000000" w:rsidP="00000000" w:rsidRDefault="00000000" w:rsidRPr="00000000" w14:paraId="0000000E">
            <w:pPr>
              <w:spacing w:line="276" w:lineRule="auto"/>
              <w:rPr>
                <w:rFonts w:ascii="Arial" w:cs="Arial" w:eastAsia="Arial" w:hAnsi="Arial"/>
                <w:sz w:val="18"/>
                <w:szCs w:val="18"/>
              </w:rPr>
            </w:pPr>
            <w:r w:rsidDel="00000000" w:rsidR="00000000" w:rsidRPr="00000000">
              <w:rPr>
                <w:rFonts w:ascii="Century Gothic" w:cs="Century Gothic" w:eastAsia="Century Gothic" w:hAnsi="Century Gothic"/>
                <w:b w:val="1"/>
                <w:bCs w:val="1"/>
                <w:sz w:val="24"/>
                <w:szCs w:val="24"/>
                <w:rtl w:val="0"/>
              </w:rPr>
              <w:t xml:space="preserve">4.R.VA.4</w:t>
            </w:r>
            <w:r w:rsidDel="00000000" w:rsidR="00000000" w:rsidRPr="00000000">
              <w:rPr>
                <w:rFonts w:ascii="Century Gothic" w:cs="Century Gothic" w:eastAsia="Century Gothic" w:hAnsi="Century Gothic"/>
                <w:sz w:val="24"/>
                <w:szCs w:val="24"/>
                <w:rtl w:val="0"/>
              </w:rPr>
              <w:t xml:space="preserve"> - Acquire and use accurately level-appropriate general academic and domain-specific words and phrases; gather vocabulary knowledge when considering a word or phrase important to comprehension or expression.</w:t>
            </w:r>
            <w:r w:rsidDel="00000000" w:rsidR="00000000" w:rsidRPr="00000000">
              <w:rPr>
                <w:rtl w:val="0"/>
              </w:rPr>
            </w:r>
          </w:p>
          <w:p w:rsidR="00000000" w:rsidDel="00000000" w:rsidP="00000000" w:rsidRDefault="00000000" w:rsidRPr="00000000" w14:paraId="0000000F">
            <w:pPr>
              <w:spacing w:line="276" w:lineRule="auto"/>
              <w:rPr>
                <w:rFonts w:ascii="Century Gothic" w:cs="Century Gothic" w:eastAsia="Century Gothic" w:hAnsi="Century Gothic"/>
              </w:rPr>
            </w:pPr>
            <w:r w:rsidDel="00000000" w:rsidR="00000000" w:rsidRPr="00000000">
              <w:rPr>
                <w:rtl w:val="0"/>
              </w:rPr>
            </w:r>
          </w:p>
        </w:tc>
      </w:tr>
      <w:tr>
        <w:trPr>
          <w:cantSplit w:val="0"/>
          <w:trHeight w:val="288" w:hRule="atLeast"/>
          <w:tblHeader w:val="0"/>
        </w:trPr>
        <w:tc>
          <w:tcPr/>
          <w:p w:rsidR="00000000" w:rsidDel="00000000" w:rsidP="00000000" w:rsidRDefault="00000000" w:rsidRPr="00000000" w14:paraId="00000012">
            <w:pPr>
              <w:spacing w:line="276"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Reading</w:t>
            </w:r>
          </w:p>
        </w:tc>
        <w:tc>
          <w:tcPr>
            <w:gridSpan w:val="3"/>
          </w:tcPr>
          <w:p w:rsidR="00000000" w:rsidDel="00000000" w:rsidP="00000000" w:rsidRDefault="00000000" w:rsidRPr="00000000" w14:paraId="00000013">
            <w:pPr>
              <w:spacing w:line="276" w:lineRule="auto"/>
              <w:rPr>
                <w:rFonts w:ascii="Arial" w:cs="Arial" w:eastAsia="Arial" w:hAnsi="Arial"/>
                <w:sz w:val="18"/>
                <w:szCs w:val="18"/>
              </w:rPr>
            </w:pPr>
            <w:r w:rsidDel="00000000" w:rsidR="00000000" w:rsidRPr="00000000">
              <w:rPr>
                <w:rFonts w:ascii="Century Gothic" w:cs="Century Gothic" w:eastAsia="Century Gothic" w:hAnsi="Century Gothic"/>
                <w:b w:val="1"/>
                <w:bCs w:val="1"/>
                <w:sz w:val="24"/>
                <w:szCs w:val="24"/>
                <w:rtl w:val="0"/>
              </w:rPr>
              <w:t xml:space="preserve">4.R.CI.10</w:t>
            </w:r>
            <w:r w:rsidDel="00000000" w:rsidR="00000000" w:rsidRPr="00000000">
              <w:rPr>
                <w:rFonts w:ascii="Century Gothic" w:cs="Century Gothic" w:eastAsia="Century Gothic" w:hAnsi="Century Gothic"/>
                <w:sz w:val="24"/>
                <w:szCs w:val="24"/>
                <w:rtl w:val="0"/>
              </w:rPr>
              <w:t xml:space="preserve"> - Use informational texts, internet web sites, and/or technical materials to review and apply information sources for occupational or educational tasks.</w:t>
            </w:r>
            <w:r w:rsidDel="00000000" w:rsidR="00000000" w:rsidRPr="00000000">
              <w:rPr>
                <w:rtl w:val="0"/>
              </w:rPr>
            </w:r>
          </w:p>
        </w:tc>
      </w:tr>
      <w:tr>
        <w:trPr>
          <w:cantSplit w:val="0"/>
          <w:trHeight w:val="288" w:hRule="atLeast"/>
          <w:tblHeader w:val="0"/>
        </w:trPr>
        <w:tc>
          <w:tcPr/>
          <w:p w:rsidR="00000000" w:rsidDel="00000000" w:rsidP="00000000" w:rsidRDefault="00000000" w:rsidRPr="00000000" w14:paraId="0000001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Math</w:t>
            </w:r>
          </w:p>
          <w:p w:rsidR="00000000" w:rsidDel="00000000" w:rsidP="00000000" w:rsidRDefault="00000000" w:rsidRPr="00000000" w14:paraId="00000017">
            <w:pPr>
              <w:rPr>
                <w:rFonts w:ascii="Century Gothic" w:cs="Century Gothic" w:eastAsia="Century Gothic" w:hAnsi="Century Gothic"/>
                <w:sz w:val="24"/>
                <w:szCs w:val="24"/>
              </w:rPr>
            </w:pPr>
            <w:r w:rsidDel="00000000" w:rsidR="00000000" w:rsidRPr="00000000">
              <w:rPr>
                <w:rtl w:val="0"/>
              </w:rPr>
            </w:r>
          </w:p>
        </w:tc>
        <w:tc>
          <w:tcPr>
            <w:gridSpan w:val="3"/>
          </w:tcPr>
          <w:p w:rsidR="00000000" w:rsidDel="00000000" w:rsidP="00000000" w:rsidRDefault="00000000" w:rsidRPr="00000000" w14:paraId="00000018">
            <w:pPr>
              <w:spacing w:line="276"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bCs w:val="1"/>
                <w:sz w:val="24"/>
                <w:szCs w:val="24"/>
                <w:rtl w:val="0"/>
              </w:rPr>
              <w:t xml:space="preserve">4.RP.1</w:t>
            </w:r>
            <w:r w:rsidDel="00000000" w:rsidR="00000000" w:rsidRPr="00000000">
              <w:rPr>
                <w:rFonts w:ascii="Century Gothic" w:cs="Century Gothic" w:eastAsia="Century Gothic" w:hAnsi="Century Gothic"/>
                <w:sz w:val="24"/>
                <w:szCs w:val="24"/>
                <w:rtl w:val="0"/>
              </w:rPr>
              <w:t xml:space="preserve"> - Use ratio and rate reasoning to solve real-world and mathematical problems (e.g., by reasoning about tables of equivalent ratios, tape diagrams, double number line</w:t>
            </w:r>
          </w:p>
          <w:p w:rsidR="00000000" w:rsidDel="00000000" w:rsidP="00000000" w:rsidRDefault="00000000" w:rsidRPr="00000000" w14:paraId="00000019">
            <w:pPr>
              <w:spacing w:line="276" w:lineRule="auto"/>
              <w:rPr>
                <w:rFonts w:ascii="Arial" w:cs="Arial" w:eastAsia="Arial" w:hAnsi="Arial"/>
                <w:sz w:val="18"/>
                <w:szCs w:val="18"/>
              </w:rPr>
            </w:pPr>
            <w:r w:rsidDel="00000000" w:rsidR="00000000" w:rsidRPr="00000000">
              <w:rPr>
                <w:rFonts w:ascii="Century Gothic" w:cs="Century Gothic" w:eastAsia="Century Gothic" w:hAnsi="Century Gothic"/>
                <w:sz w:val="24"/>
                <w:szCs w:val="24"/>
                <w:rtl w:val="0"/>
              </w:rPr>
              <w:t xml:space="preserve">diagrams, or equations).</w:t>
            </w:r>
            <w:r w:rsidDel="00000000" w:rsidR="00000000" w:rsidRPr="00000000">
              <w:rPr>
                <w:rtl w:val="0"/>
              </w:rPr>
            </w:r>
          </w:p>
          <w:p w:rsidR="00000000" w:rsidDel="00000000" w:rsidP="00000000" w:rsidRDefault="00000000" w:rsidRPr="00000000" w14:paraId="0000001A">
            <w:pPr>
              <w:spacing w:line="276" w:lineRule="auto"/>
              <w:rPr>
                <w:rFonts w:ascii="Arial" w:cs="Arial" w:eastAsia="Arial" w:hAnsi="Arial"/>
                <w:sz w:val="18"/>
                <w:szCs w:val="18"/>
              </w:rPr>
            </w:pPr>
            <w:r w:rsidDel="00000000" w:rsidR="00000000" w:rsidRPr="00000000">
              <w:rPr>
                <w:rtl w:val="0"/>
              </w:rPr>
            </w:r>
          </w:p>
        </w:tc>
      </w:tr>
      <w:tr>
        <w:trPr>
          <w:cantSplit w:val="0"/>
          <w:trHeight w:val="332" w:hRule="atLeast"/>
          <w:tblHeader w:val="0"/>
        </w:trPr>
        <w:tc>
          <w:tcPr>
            <w:gridSpan w:val="4"/>
            <w:shd w:fill="d9d9d9" w:val="clear"/>
          </w:tcPr>
          <w:p w:rsidR="00000000" w:rsidDel="00000000" w:rsidP="00000000" w:rsidRDefault="00000000" w:rsidRPr="00000000" w14:paraId="0000001D">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Integrated </w:t>
            </w:r>
            <w:hyperlink r:id="rId7">
              <w:r w:rsidDel="00000000" w:rsidR="00000000" w:rsidRPr="00000000">
                <w:rPr>
                  <w:rFonts w:ascii="Century Gothic" w:cs="Century Gothic" w:eastAsia="Century Gothic" w:hAnsi="Century Gothic"/>
                  <w:b w:val="1"/>
                  <w:bCs w:val="1"/>
                  <w:color w:val="0563c1"/>
                  <w:sz w:val="24"/>
                  <w:szCs w:val="24"/>
                  <w:u w:val="single"/>
                  <w:rtl w:val="0"/>
                </w:rPr>
                <w:t xml:space="preserve">Essential Employability Skills</w:t>
              </w:r>
            </w:hyperlink>
            <w:r w:rsidDel="00000000" w:rsidR="00000000" w:rsidRPr="00000000">
              <w:rPr>
                <w:rFonts w:ascii="Century Gothic" w:cs="Century Gothic" w:eastAsia="Century Gothic" w:hAnsi="Century Gothic"/>
                <w:b w:val="1"/>
                <w:bCs w:val="1"/>
                <w:sz w:val="24"/>
                <w:szCs w:val="24"/>
                <w:rtl w:val="0"/>
              </w:rPr>
              <w:t xml:space="preserve"> </w:t>
            </w:r>
          </w:p>
        </w:tc>
      </w:tr>
      <w:tr>
        <w:trPr>
          <w:cantSplit w:val="0"/>
          <w:trHeight w:val="258" w:hRule="atLeast"/>
          <w:tblHeader w:val="0"/>
        </w:trPr>
        <w:tc>
          <w:tcPr>
            <w:gridSpan w:val="2"/>
            <w:shd w:fill="ffffff" w:val="clear"/>
          </w:tcPr>
          <w:p w:rsidR="00000000" w:rsidDel="00000000" w:rsidP="00000000" w:rsidRDefault="00000000" w:rsidRPr="00000000" w14:paraId="0000002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Personal Ethic </w:t>
            </w:r>
            <w:r w:rsidDel="00000000" w:rsidR="00000000" w:rsidRPr="00000000">
              <w:rPr>
                <w:rFonts w:ascii="Century Gothic" w:cs="Century Gothic" w:eastAsia="Century Gothic" w:hAnsi="Century Gothic"/>
                <w:i w:val="1"/>
                <w:iCs w:val="1"/>
                <w:rtl w:val="0"/>
              </w:rPr>
              <w:t xml:space="preserve">(Integrity, Respect, Perseverance, Positive Attitude)</w:t>
            </w:r>
            <w:r w:rsidDel="00000000" w:rsidR="00000000" w:rsidRPr="00000000">
              <w:rPr>
                <w:rtl w:val="0"/>
              </w:rPr>
            </w:r>
          </w:p>
        </w:tc>
        <w:tc>
          <w:tcPr>
            <w:gridSpan w:val="2"/>
            <w:shd w:fill="ffffff" w:val="clear"/>
          </w:tcPr>
          <w:p w:rsidR="00000000" w:rsidDel="00000000" w:rsidP="00000000" w:rsidRDefault="00000000" w:rsidRPr="00000000" w14:paraId="00000023">
            <w:pPr>
              <w:rPr>
                <w:rFonts w:ascii="Century Gothic" w:cs="Century Gothic" w:eastAsia="Century Gothic" w:hAnsi="Century Gothic"/>
              </w:rPr>
            </w:pP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Teamwork </w:t>
            </w:r>
            <w:r w:rsidDel="00000000" w:rsidR="00000000" w:rsidRPr="00000000">
              <w:rPr>
                <w:rFonts w:ascii="Century Gothic" w:cs="Century Gothic" w:eastAsia="Century Gothic" w:hAnsi="Century Gothic"/>
                <w:i w:val="1"/>
                <w:iCs w:val="1"/>
                <w:rtl w:val="0"/>
              </w:rPr>
              <w:t xml:space="preserve">(Critical Thinking, Effective &amp; Cooperative Work)</w:t>
            </w:r>
            <w:r w:rsidDel="00000000" w:rsidR="00000000" w:rsidRPr="00000000">
              <w:rPr>
                <w:rtl w:val="0"/>
              </w:rPr>
            </w:r>
          </w:p>
          <w:p w:rsidR="00000000" w:rsidDel="00000000" w:rsidP="00000000" w:rsidRDefault="00000000" w:rsidRPr="00000000" w14:paraId="00000024">
            <w:pPr>
              <w:rPr>
                <w:rFonts w:ascii="Century Gothic" w:cs="Century Gothic" w:eastAsia="Century Gothic" w:hAnsi="Century Gothic"/>
                <w:sz w:val="24"/>
                <w:szCs w:val="24"/>
              </w:rPr>
            </w:pPr>
            <w:r w:rsidDel="00000000" w:rsidR="00000000" w:rsidRPr="00000000">
              <w:rPr>
                <w:rtl w:val="0"/>
              </w:rPr>
            </w:r>
          </w:p>
        </w:tc>
      </w:tr>
      <w:tr>
        <w:trPr>
          <w:cantSplit w:val="0"/>
          <w:trHeight w:val="258" w:hRule="atLeast"/>
          <w:tblHeader w:val="0"/>
        </w:trPr>
        <w:tc>
          <w:tcPr>
            <w:gridSpan w:val="2"/>
            <w:shd w:fill="ffffff" w:val="clear"/>
          </w:tcPr>
          <w:p w:rsidR="00000000" w:rsidDel="00000000" w:rsidP="00000000" w:rsidRDefault="00000000" w:rsidRPr="00000000" w14:paraId="00000026">
            <w:pPr>
              <w:rPr>
                <w:rFonts w:ascii="Century Gothic" w:cs="Century Gothic" w:eastAsia="Century Gothic" w:hAnsi="Century Gothic"/>
              </w:rPr>
            </w:pPr>
            <w:r w:rsidDel="00000000" w:rsidR="00000000" w:rsidRPr="00000000">
              <w:rPr>
                <w:rFonts w:ascii="Century Gothic" w:cs="Century Gothic" w:eastAsia="Century Gothic" w:hAnsi="Century Gothic"/>
                <w:sz w:val="28"/>
                <w:szCs w:val="28"/>
                <w:rtl w:val="0"/>
              </w:rPr>
              <w:t xml:space="preserve">☒</w:t>
            </w:r>
            <w:r w:rsidDel="00000000" w:rsidR="00000000" w:rsidRPr="00000000">
              <w:rPr>
                <w:rFonts w:ascii="Century Gothic" w:cs="Century Gothic" w:eastAsia="Century Gothic" w:hAnsi="Century Gothic"/>
                <w:rtl w:val="0"/>
              </w:rPr>
              <w:t xml:space="preserve"> Work Ethic </w:t>
            </w:r>
            <w:r w:rsidDel="00000000" w:rsidR="00000000" w:rsidRPr="00000000">
              <w:rPr>
                <w:rFonts w:ascii="Century Gothic" w:cs="Century Gothic" w:eastAsia="Century Gothic" w:hAnsi="Century Gothic"/>
                <w:i w:val="1"/>
                <w:iCs w:val="1"/>
                <w:rtl w:val="0"/>
              </w:rPr>
              <w:t xml:space="preserve">(Dependability, Professionalism)</w:t>
            </w:r>
            <w:r w:rsidDel="00000000" w:rsidR="00000000" w:rsidRPr="00000000">
              <w:rPr>
                <w:rtl w:val="0"/>
              </w:rPr>
            </w:r>
          </w:p>
          <w:p w:rsidR="00000000" w:rsidDel="00000000" w:rsidP="00000000" w:rsidRDefault="00000000" w:rsidRPr="00000000" w14:paraId="00000027">
            <w:pPr>
              <w:rPr>
                <w:rFonts w:ascii="Century Gothic" w:cs="Century Gothic" w:eastAsia="Century Gothic" w:hAnsi="Century Gothic"/>
                <w:sz w:val="28"/>
                <w:szCs w:val="28"/>
              </w:rPr>
            </w:pPr>
            <w:r w:rsidDel="00000000" w:rsidR="00000000" w:rsidRPr="00000000">
              <w:rPr>
                <w:rtl w:val="0"/>
              </w:rPr>
            </w:r>
          </w:p>
        </w:tc>
        <w:tc>
          <w:tcPr>
            <w:gridSpan w:val="2"/>
            <w:shd w:fill="ffffff" w:val="clear"/>
          </w:tcPr>
          <w:p w:rsidR="00000000" w:rsidDel="00000000" w:rsidP="00000000" w:rsidRDefault="00000000" w:rsidRPr="00000000" w14:paraId="00000029">
            <w:pPr>
              <w:rPr>
                <w:rFonts w:ascii="Century Gothic" w:cs="Century Gothic" w:eastAsia="Century Gothic" w:hAnsi="Century Gothic"/>
              </w:rPr>
            </w:pPr>
            <w:r w:rsidDel="00000000" w:rsidR="00000000" w:rsidRPr="00000000">
              <w:rPr>
                <w:rFonts w:ascii="Century Gothic" w:cs="Century Gothic" w:eastAsia="Century Gothic" w:hAnsi="Century Gothic"/>
                <w:sz w:val="28"/>
                <w:szCs w:val="28"/>
                <w:rtl w:val="0"/>
              </w:rPr>
              <w:t xml:space="preserve">□</w:t>
            </w:r>
            <w:r w:rsidDel="00000000" w:rsidR="00000000" w:rsidRPr="00000000">
              <w:rPr>
                <w:rFonts w:ascii="Century Gothic" w:cs="Century Gothic" w:eastAsia="Century Gothic" w:hAnsi="Century Gothic"/>
                <w:rtl w:val="0"/>
              </w:rPr>
              <w:t xml:space="preserve">Communication </w:t>
            </w:r>
            <w:r w:rsidDel="00000000" w:rsidR="00000000" w:rsidRPr="00000000">
              <w:rPr>
                <w:rFonts w:ascii="Century Gothic" w:cs="Century Gothic" w:eastAsia="Century Gothic" w:hAnsi="Century Gothic"/>
                <w:i w:val="1"/>
                <w:iCs w:val="1"/>
                <w:rtl w:val="0"/>
              </w:rPr>
              <w:t xml:space="preserve">(Active Listening, Clear Communication)</w:t>
            </w:r>
            <w:r w:rsidDel="00000000" w:rsidR="00000000" w:rsidRPr="00000000">
              <w:rPr>
                <w:rtl w:val="0"/>
              </w:rPr>
            </w:r>
          </w:p>
          <w:p w:rsidR="00000000" w:rsidDel="00000000" w:rsidP="00000000" w:rsidRDefault="00000000" w:rsidRPr="00000000" w14:paraId="0000002A">
            <w:pPr>
              <w:rPr>
                <w:rFonts w:ascii="Century Gothic" w:cs="Century Gothic" w:eastAsia="Century Gothic" w:hAnsi="Century Gothic"/>
                <w:sz w:val="28"/>
                <w:szCs w:val="28"/>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2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bCs w:val="1"/>
                <w:sz w:val="24"/>
                <w:szCs w:val="24"/>
                <w:rtl w:val="0"/>
              </w:rPr>
              <w:t xml:space="preserve">Lesson Objectives </w:t>
            </w:r>
            <w:r w:rsidDel="00000000" w:rsidR="00000000" w:rsidRPr="00000000">
              <w:rPr>
                <w:rFonts w:ascii="Century Gothic" w:cs="Century Gothic" w:eastAsia="Century Gothic" w:hAnsi="Century Gothic"/>
                <w:b w:val="1"/>
                <w:bCs w:val="1"/>
                <w:i w:val="1"/>
                <w:iCs w:val="1"/>
                <w:sz w:val="20"/>
                <w:szCs w:val="20"/>
                <w:rtl w:val="0"/>
              </w:rPr>
              <w:t xml:space="preserve">(Students will be able to)</w:t>
            </w:r>
            <w:r w:rsidDel="00000000" w:rsidR="00000000" w:rsidRPr="00000000">
              <w:rPr>
                <w:rFonts w:ascii="Century Gothic" w:cs="Century Gothic" w:eastAsia="Century Gothic" w:hAnsi="Century Gothic"/>
                <w:i w:val="1"/>
                <w:iCs w:val="1"/>
                <w:sz w:val="20"/>
                <w:szCs w:val="20"/>
                <w:rtl w:val="0"/>
              </w:rPr>
              <w:t xml:space="preserve">:</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2D">
            <w:pPr>
              <w:numPr>
                <w:ilvl w:val="0"/>
                <w:numId w:val="7"/>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Define terms related to nutrition facts labels and proportional reasoning.</w:t>
            </w:r>
            <w:r w:rsidDel="00000000" w:rsidR="00000000" w:rsidRPr="00000000">
              <w:rPr>
                <w:rtl w:val="0"/>
              </w:rPr>
            </w:r>
          </w:p>
          <w:p w:rsidR="00000000" w:rsidDel="00000000" w:rsidP="00000000" w:rsidRDefault="00000000" w:rsidRPr="00000000" w14:paraId="0000002E">
            <w:pPr>
              <w:numPr>
                <w:ilvl w:val="0"/>
                <w:numId w:val="7"/>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Use proportional reasoning to form ratios and calculate the total amounts of nutrients in a container based on serving size.</w:t>
            </w:r>
            <w:r w:rsidDel="00000000" w:rsidR="00000000" w:rsidRPr="00000000">
              <w:rPr>
                <w:rtl w:val="0"/>
              </w:rPr>
            </w:r>
          </w:p>
          <w:p w:rsidR="00000000" w:rsidDel="00000000" w:rsidP="00000000" w:rsidRDefault="00000000" w:rsidRPr="00000000" w14:paraId="0000002F">
            <w:pPr>
              <w:numPr>
                <w:ilvl w:val="0"/>
                <w:numId w:val="7"/>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Reflect on the implications of understanding nutrition facts labels in the healthcare industry and general public.</w:t>
            </w:r>
            <w:r w:rsidDel="00000000" w:rsidR="00000000" w:rsidRPr="00000000">
              <w:rPr>
                <w:rtl w:val="0"/>
              </w:rPr>
            </w:r>
          </w:p>
          <w:p w:rsidR="00000000" w:rsidDel="00000000" w:rsidP="00000000" w:rsidRDefault="00000000" w:rsidRPr="00000000" w14:paraId="00000030">
            <w:pPr>
              <w:ind w:left="720" w:firstLine="0"/>
              <w:rPr>
                <w:rFonts w:ascii="Century Gothic" w:cs="Century Gothic" w:eastAsia="Century Gothic" w:hAnsi="Century Gothic"/>
                <w:sz w:val="24"/>
                <w:szCs w:val="24"/>
              </w:rPr>
            </w:pPr>
            <w:r w:rsidDel="00000000" w:rsidR="00000000" w:rsidRPr="00000000">
              <w:rPr>
                <w:rtl w:val="0"/>
              </w:rPr>
            </w:r>
          </w:p>
        </w:tc>
      </w:tr>
      <w:tr>
        <w:trPr>
          <w:cantSplit w:val="0"/>
          <w:trHeight w:val="3785.5078125" w:hRule="atLeast"/>
          <w:tblHeader w:val="0"/>
        </w:trPr>
        <w:tc>
          <w:tcPr>
            <w:gridSpan w:val="4"/>
            <w:shd w:fill="c5e0b3" w:val="clear"/>
          </w:tcPr>
          <w:p w:rsidR="00000000" w:rsidDel="00000000" w:rsidP="00000000" w:rsidRDefault="00000000" w:rsidRPr="00000000" w14:paraId="00000034">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Engagement is not “one size fits all.” How are you providing multiple ways to engage all learners? Click on </w:t>
            </w:r>
            <w:hyperlink r:id="rId8">
              <w:r w:rsidDel="00000000" w:rsidR="00000000" w:rsidRPr="00000000">
                <w:rPr>
                  <w:rFonts w:ascii="Century Gothic" w:cs="Century Gothic" w:eastAsia="Century Gothic" w:hAnsi="Century Gothic"/>
                  <w:b w:val="1"/>
                  <w:bCs w:val="1"/>
                  <w:color w:val="00b0f0"/>
                  <w:sz w:val="24"/>
                  <w:szCs w:val="24"/>
                  <w:u w:val="single"/>
                  <w:rtl w:val="0"/>
                </w:rPr>
                <w:t xml:space="preserve">Multiple Means of Engagement</w:t>
              </w:r>
            </w:hyperlink>
            <w:r w:rsidDel="00000000" w:rsidR="00000000" w:rsidRPr="00000000">
              <w:rPr>
                <w:rFonts w:ascii="Century Gothic" w:cs="Century Gothic" w:eastAsia="Century Gothic" w:hAnsi="Century Gothic"/>
                <w:b w:val="1"/>
                <w:bCs w:val="1"/>
                <w:color w:val="00b0f0"/>
                <w:sz w:val="24"/>
                <w:szCs w:val="24"/>
                <w:rtl w:val="0"/>
              </w:rPr>
              <w:t xml:space="preserve"> </w:t>
            </w:r>
            <w:r w:rsidDel="00000000" w:rsidR="00000000" w:rsidRPr="00000000">
              <w:rPr>
                <w:rFonts w:ascii="Century Gothic" w:cs="Century Gothic" w:eastAsia="Century Gothic" w:hAnsi="Century Gothic"/>
                <w:b w:val="1"/>
                <w:bCs w:val="1"/>
                <w:sz w:val="24"/>
                <w:szCs w:val="24"/>
                <w:rtl w:val="0"/>
              </w:rPr>
              <w:t xml:space="preserve">to learn more about providing options for learners and explain how you are including this below:</w:t>
            </w:r>
          </w:p>
          <w:p w:rsidR="00000000" w:rsidDel="00000000" w:rsidP="00000000" w:rsidRDefault="00000000" w:rsidRPr="00000000" w14:paraId="00000035">
            <w:pPr>
              <w:numPr>
                <w:ilvl w:val="0"/>
                <w:numId w:val="8"/>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Learners are encouraged to connect to their prior knowledge about their own ideas of healthy foods and how they can grow their knowledge on proper nutrition as a professional.</w:t>
            </w:r>
          </w:p>
          <w:p w:rsidR="00000000" w:rsidDel="00000000" w:rsidP="00000000" w:rsidRDefault="00000000" w:rsidRPr="00000000" w14:paraId="00000036">
            <w:pPr>
              <w:numPr>
                <w:ilvl w:val="0"/>
                <w:numId w:val="8"/>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Students learn the overall importance of nutrition and how this will impact their success as a professional in the healthcare field.</w:t>
            </w:r>
          </w:p>
          <w:p w:rsidR="00000000" w:rsidDel="00000000" w:rsidP="00000000" w:rsidRDefault="00000000" w:rsidRPr="00000000" w14:paraId="00000037">
            <w:pPr>
              <w:numPr>
                <w:ilvl w:val="0"/>
                <w:numId w:val="8"/>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Learners are encouraged to reflect on the implications of understanding nutrition facts labels for public health and healthcare industry as a whole. </w:t>
            </w:r>
          </w:p>
          <w:p w:rsidR="00000000" w:rsidDel="00000000" w:rsidP="00000000" w:rsidRDefault="00000000" w:rsidRPr="00000000" w14:paraId="00000038">
            <w:pPr>
              <w:ind w:left="720" w:firstLine="0"/>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3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bCs w:val="1"/>
                <w:sz w:val="24"/>
                <w:szCs w:val="24"/>
                <w:rtl w:val="0"/>
              </w:rPr>
              <w:t xml:space="preserve">Key Vocabulary</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3D">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Ratio (n); Nutrients (n); Nutrition (n); Serving size (n); Proportion (n); Numerator (n); Denominator (n); Calories (n)</w:t>
            </w:r>
          </w:p>
          <w:p w:rsidR="00000000" w:rsidDel="00000000" w:rsidP="00000000" w:rsidRDefault="00000000" w:rsidRPr="00000000" w14:paraId="0000003E">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42">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Instructional Materials:</w:t>
            </w:r>
          </w:p>
          <w:p w:rsidR="00000000" w:rsidDel="00000000" w:rsidP="00000000" w:rsidRDefault="00000000" w:rsidRPr="00000000" w14:paraId="0000004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u w:val="single"/>
                <w:rtl w:val="0"/>
              </w:rPr>
              <w:t xml:space="preserve">Textbooks or online curriculum</w:t>
            </w:r>
            <w:r w:rsidDel="00000000" w:rsidR="00000000" w:rsidRPr="00000000">
              <w:rPr>
                <w:rtl w:val="0"/>
              </w:rPr>
            </w:r>
          </w:p>
          <w:p w:rsidR="00000000" w:rsidDel="00000000" w:rsidP="00000000" w:rsidRDefault="00000000" w:rsidRPr="00000000" w14:paraId="0000004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Lesson Slide deck: </w:t>
            </w:r>
            <w:hyperlink r:id="rId9">
              <w:r w:rsidDel="00000000" w:rsidR="00000000" w:rsidRPr="00000000">
                <w:rPr>
                  <w:rFonts w:ascii="Century Gothic" w:cs="Century Gothic" w:eastAsia="Century Gothic" w:hAnsi="Century Gothic"/>
                  <w:color w:val="1155cc"/>
                  <w:sz w:val="24"/>
                  <w:szCs w:val="24"/>
                  <w:u w:val="single"/>
                  <w:rtl w:val="0"/>
                </w:rPr>
                <w:t xml:space="preserve">https://docs.google.com/presentation/d/1NwWtHg9YIiTJ9nE5D41ZnYjYWcHS7mpQsvaxyiLwel0/copy</w:t>
              </w:r>
            </w:hyperlink>
            <w:r w:rsidDel="00000000" w:rsidR="00000000" w:rsidRPr="00000000">
              <w:rPr>
                <w:rtl w:val="0"/>
              </w:rPr>
            </w:r>
          </w:p>
          <w:p w:rsidR="00000000" w:rsidDel="00000000" w:rsidP="00000000" w:rsidRDefault="00000000" w:rsidRPr="00000000" w14:paraId="00000045">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46">
            <w:pPr>
              <w:rPr>
                <w:rFonts w:ascii="Century Gothic" w:cs="Century Gothic" w:eastAsia="Century Gothic" w:hAnsi="Century Gothic"/>
                <w:sz w:val="24"/>
                <w:szCs w:val="24"/>
                <w:u w:val="single"/>
              </w:rPr>
            </w:pPr>
            <w:r w:rsidDel="00000000" w:rsidR="00000000" w:rsidRPr="00000000">
              <w:rPr>
                <w:rFonts w:ascii="Century Gothic" w:cs="Century Gothic" w:eastAsia="Century Gothic" w:hAnsi="Century Gothic"/>
                <w:sz w:val="24"/>
                <w:szCs w:val="24"/>
                <w:u w:val="single"/>
                <w:rtl w:val="0"/>
              </w:rPr>
              <w:t xml:space="preserve">Online Resources</w:t>
            </w:r>
          </w:p>
          <w:p w:rsidR="00000000" w:rsidDel="00000000" w:rsidP="00000000" w:rsidRDefault="00000000" w:rsidRPr="00000000" w14:paraId="00000047">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Video: </w:t>
            </w:r>
            <w:hyperlink r:id="rId10">
              <w:r w:rsidDel="00000000" w:rsidR="00000000" w:rsidRPr="00000000">
                <w:rPr>
                  <w:rFonts w:ascii="Century Gothic" w:cs="Century Gothic" w:eastAsia="Century Gothic" w:hAnsi="Century Gothic"/>
                  <w:color w:val="0000ee"/>
                  <w:sz w:val="24"/>
                  <w:szCs w:val="24"/>
                  <w:u w:val="single"/>
                  <w:rtl w:val="0"/>
                </w:rPr>
                <w:t xml:space="preserve">For Healthcare Professionals: “Talking to Patients About Using the Nutrition Facts Label” </w:t>
              </w:r>
            </w:hyperlink>
            <w:hyperlink r:id="rId11">
              <w:r w:rsidDel="00000000" w:rsidR="00000000" w:rsidRPr="00000000">
                <w:rPr>
                  <w:rFonts w:ascii="Century Gothic" w:cs="Century Gothic" w:eastAsia="Century Gothic" w:hAnsi="Century Gothic"/>
                  <w:color w:val="1155cc"/>
                  <w:sz w:val="24"/>
                  <w:szCs w:val="24"/>
                  <w:u w:val="single"/>
                  <w:rtl w:val="0"/>
                </w:rPr>
                <w:t xml:space="preserve">https://www.youtube.com/watch?v=LUpN2zsj53A</w:t>
              </w:r>
            </w:hyperlink>
            <w:r w:rsidDel="00000000" w:rsidR="00000000" w:rsidRPr="00000000">
              <w:rPr>
                <w:rtl w:val="0"/>
              </w:rPr>
            </w:r>
          </w:p>
          <w:p w:rsidR="00000000" w:rsidDel="00000000" w:rsidP="00000000" w:rsidRDefault="00000000" w:rsidRPr="00000000" w14:paraId="0000004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Wordwall Vocabulary Activity: </w:t>
            </w:r>
            <w:hyperlink r:id="rId12">
              <w:r w:rsidDel="00000000" w:rsidR="00000000" w:rsidRPr="00000000">
                <w:rPr>
                  <w:rFonts w:ascii="Century Gothic" w:cs="Century Gothic" w:eastAsia="Century Gothic" w:hAnsi="Century Gothic"/>
                  <w:color w:val="1155cc"/>
                  <w:sz w:val="24"/>
                  <w:szCs w:val="24"/>
                  <w:u w:val="single"/>
                  <w:rtl w:val="0"/>
                </w:rPr>
                <w:t xml:space="preserve">https://wordwall.net/resource/106156982</w:t>
              </w:r>
            </w:hyperlink>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49">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PBS Lesson: </w:t>
            </w:r>
            <w:hyperlink r:id="rId13">
              <w:r w:rsidDel="00000000" w:rsidR="00000000" w:rsidRPr="00000000">
                <w:rPr>
                  <w:rFonts w:ascii="Century Gothic" w:cs="Century Gothic" w:eastAsia="Century Gothic" w:hAnsi="Century Gothic"/>
                  <w:color w:val="1155cc"/>
                  <w:sz w:val="24"/>
                  <w:szCs w:val="24"/>
                  <w:u w:val="single"/>
                  <w:rtl w:val="0"/>
                </w:rPr>
                <w:t xml:space="preserve">https://illinois.pbslearningmedia.org/resource/midlit11.math .splprop/ratio-and-proportional-reasoning-food-labels/</w:t>
              </w:r>
            </w:hyperlink>
            <w:r w:rsidDel="00000000" w:rsidR="00000000" w:rsidRPr="00000000">
              <w:rPr>
                <w:rtl w:val="0"/>
              </w:rPr>
            </w:r>
          </w:p>
          <w:p w:rsidR="00000000" w:rsidDel="00000000" w:rsidP="00000000" w:rsidRDefault="00000000" w:rsidRPr="00000000" w14:paraId="0000004A">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Nutrition Fact Labels (National Agriculture in the Classroom) </w:t>
            </w:r>
            <w:hyperlink r:id="rId14">
              <w:r w:rsidDel="00000000" w:rsidR="00000000" w:rsidRPr="00000000">
                <w:rPr>
                  <w:rFonts w:ascii="Century Gothic" w:cs="Century Gothic" w:eastAsia="Century Gothic" w:hAnsi="Century Gothic"/>
                  <w:color w:val="1155cc"/>
                  <w:sz w:val="24"/>
                  <w:szCs w:val="24"/>
                  <w:u w:val="single"/>
                  <w:rtl w:val="0"/>
                </w:rPr>
                <w:t xml:space="preserve">https://cdn.agclassroom.org/media/uploads/2018/08/18/Nutrition_Fact_label_cards.pdf</w:t>
              </w:r>
            </w:hyperlink>
            <w:r w:rsidDel="00000000" w:rsidR="00000000" w:rsidRPr="00000000">
              <w:rPr>
                <w:rtl w:val="0"/>
              </w:rPr>
            </w:r>
          </w:p>
          <w:p w:rsidR="00000000" w:rsidDel="00000000" w:rsidP="00000000" w:rsidRDefault="00000000" w:rsidRPr="00000000" w14:paraId="0000004B">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4F">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Lesson Activities: </w:t>
            </w:r>
          </w:p>
          <w:p w:rsidR="00000000" w:rsidDel="00000000" w:rsidP="00000000" w:rsidRDefault="00000000" w:rsidRPr="00000000" w14:paraId="0000005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Warm Up:</w:t>
            </w:r>
          </w:p>
          <w:p w:rsidR="00000000" w:rsidDel="00000000" w:rsidP="00000000" w:rsidRDefault="00000000" w:rsidRPr="00000000" w14:paraId="00000051">
            <w:pPr>
              <w:numPr>
                <w:ilvl w:val="0"/>
                <w:numId w:val="4"/>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Ask students to think about some of their favorite foods. Ask students to think about what makes foods or drinks “healthy.”</w:t>
            </w:r>
            <w:r w:rsidDel="00000000" w:rsidR="00000000" w:rsidRPr="00000000">
              <w:rPr>
                <w:rtl w:val="0"/>
              </w:rPr>
            </w:r>
          </w:p>
          <w:p w:rsidR="00000000" w:rsidDel="00000000" w:rsidP="00000000" w:rsidRDefault="00000000" w:rsidRPr="00000000" w14:paraId="00000052">
            <w:pPr>
              <w:numPr>
                <w:ilvl w:val="0"/>
                <w:numId w:val="4"/>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Explain that as a healthcare professional, their patients will be looking to them to give advice on all areas of health, including proper nutrition.</w:t>
            </w:r>
            <w:r w:rsidDel="00000000" w:rsidR="00000000" w:rsidRPr="00000000">
              <w:rPr>
                <w:rtl w:val="0"/>
              </w:rPr>
            </w:r>
          </w:p>
          <w:p w:rsidR="00000000" w:rsidDel="00000000" w:rsidP="00000000" w:rsidRDefault="00000000" w:rsidRPr="00000000" w14:paraId="00000053">
            <w:pPr>
              <w:numPr>
                <w:ilvl w:val="0"/>
                <w:numId w:val="4"/>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Explain that being able to read a nutrition label and determine the total amount of nutrients in a particular food item takes math skills that they will learn in this lesson.</w:t>
            </w:r>
            <w:r w:rsidDel="00000000" w:rsidR="00000000" w:rsidRPr="00000000">
              <w:rPr>
                <w:rtl w:val="0"/>
              </w:rPr>
            </w:r>
          </w:p>
          <w:p w:rsidR="00000000" w:rsidDel="00000000" w:rsidP="00000000" w:rsidRDefault="00000000" w:rsidRPr="00000000" w14:paraId="00000054">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55">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Understanding Nutrition Label</w:t>
            </w:r>
          </w:p>
          <w:p w:rsidR="00000000" w:rsidDel="00000000" w:rsidP="00000000" w:rsidRDefault="00000000" w:rsidRPr="00000000" w14:paraId="00000056">
            <w:pPr>
              <w:numPr>
                <w:ilvl w:val="0"/>
                <w:numId w:val="1"/>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Explain what a nutrition label is in general. Ask students to grab any sort of packaged food they have in their house. As you explain, they can look at their own food label to compare. </w:t>
            </w:r>
            <w:r w:rsidDel="00000000" w:rsidR="00000000" w:rsidRPr="00000000">
              <w:rPr>
                <w:rtl w:val="0"/>
              </w:rPr>
            </w:r>
          </w:p>
          <w:p w:rsidR="00000000" w:rsidDel="00000000" w:rsidP="00000000" w:rsidRDefault="00000000" w:rsidRPr="00000000" w14:paraId="00000057">
            <w:pPr>
              <w:numPr>
                <w:ilvl w:val="0"/>
                <w:numId w:val="1"/>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Introduce key vocabulary for the lesson using the Wordwall vocabulary activity - </w:t>
            </w:r>
            <w:hyperlink r:id="rId15">
              <w:r w:rsidDel="00000000" w:rsidR="00000000" w:rsidRPr="00000000">
                <w:rPr>
                  <w:rFonts w:ascii="Century Gothic" w:cs="Century Gothic" w:eastAsia="Century Gothic" w:hAnsi="Century Gothic"/>
                  <w:color w:val="1155cc"/>
                  <w:sz w:val="24"/>
                  <w:szCs w:val="24"/>
                  <w:u w:val="single"/>
                  <w:rtl w:val="0"/>
                </w:rPr>
                <w:t xml:space="preserve">https://wordwall.net/resource/106156982</w:t>
              </w:r>
            </w:hyperlink>
            <w:r w:rsidDel="00000000" w:rsidR="00000000" w:rsidRPr="00000000">
              <w:rPr>
                <w:rFonts w:ascii="Century Gothic" w:cs="Century Gothic" w:eastAsia="Century Gothic" w:hAnsi="Century Gothic"/>
                <w:sz w:val="24"/>
                <w:szCs w:val="24"/>
                <w:rtl w:val="0"/>
              </w:rPr>
              <w:t xml:space="preserve"> </w:t>
            </w:r>
            <w:r w:rsidDel="00000000" w:rsidR="00000000" w:rsidRPr="00000000">
              <w:rPr>
                <w:rtl w:val="0"/>
              </w:rPr>
            </w:r>
          </w:p>
          <w:p w:rsidR="00000000" w:rsidDel="00000000" w:rsidP="00000000" w:rsidRDefault="00000000" w:rsidRPr="00000000" w14:paraId="00000058">
            <w:pPr>
              <w:numPr>
                <w:ilvl w:val="0"/>
                <w:numId w:val="1"/>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Play the video clip of a healthcare professional talking to a patient about serving size. (5:00-7:56) </w:t>
            </w:r>
            <w:hyperlink r:id="rId16">
              <w:r w:rsidDel="00000000" w:rsidR="00000000" w:rsidRPr="00000000">
                <w:rPr>
                  <w:rFonts w:ascii="Century Gothic" w:cs="Century Gothic" w:eastAsia="Century Gothic" w:hAnsi="Century Gothic"/>
                  <w:color w:val="0000ee"/>
                  <w:sz w:val="24"/>
                  <w:szCs w:val="24"/>
                  <w:u w:val="single"/>
                  <w:rtl w:val="0"/>
                </w:rPr>
                <w:t xml:space="preserve">For Healthcare Professionals: “Talking to Patients About Using the Nutrition Facts Label” </w:t>
              </w:r>
            </w:hyperlink>
            <w:hyperlink r:id="rId17">
              <w:r w:rsidDel="00000000" w:rsidR="00000000" w:rsidRPr="00000000">
                <w:rPr>
                  <w:rFonts w:ascii="Century Gothic" w:cs="Century Gothic" w:eastAsia="Century Gothic" w:hAnsi="Century Gothic"/>
                  <w:color w:val="1155cc"/>
                  <w:sz w:val="24"/>
                  <w:szCs w:val="24"/>
                  <w:u w:val="single"/>
                  <w:rtl w:val="0"/>
                </w:rPr>
                <w:t xml:space="preserve">https://www.youtube.com/watch?v=LUpN2zsj53A</w:t>
              </w:r>
            </w:hyperlink>
            <w:r w:rsidDel="00000000" w:rsidR="00000000" w:rsidRPr="00000000">
              <w:rPr>
                <w:rtl w:val="0"/>
              </w:rPr>
            </w:r>
          </w:p>
          <w:p w:rsidR="00000000" w:rsidDel="00000000" w:rsidP="00000000" w:rsidRDefault="00000000" w:rsidRPr="00000000" w14:paraId="00000059">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5A">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Ratios and Proportions for Serving Size</w:t>
            </w:r>
          </w:p>
          <w:p w:rsidR="00000000" w:rsidDel="00000000" w:rsidP="00000000" w:rsidRDefault="00000000" w:rsidRPr="00000000" w14:paraId="0000005B">
            <w:pPr>
              <w:numPr>
                <w:ilvl w:val="0"/>
                <w:numId w:val="2"/>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Explain the step-by-step process of determining the amount of nutrients in an entire package using ratios and proportional reasoning using the examples on slides 6-11.</w:t>
            </w:r>
            <w:r w:rsidDel="00000000" w:rsidR="00000000" w:rsidRPr="00000000">
              <w:rPr>
                <w:rtl w:val="0"/>
              </w:rPr>
            </w:r>
          </w:p>
          <w:p w:rsidR="00000000" w:rsidDel="00000000" w:rsidP="00000000" w:rsidRDefault="00000000" w:rsidRPr="00000000" w14:paraId="0000005C">
            <w:pPr>
              <w:numPr>
                <w:ilvl w:val="1"/>
                <w:numId w:val="2"/>
              </w:numPr>
              <w:ind w:left="144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Using an example label from the FDA on frozen lasagna, direct students to read the servings per container and serving size amounts. Then, point out the number of calories per serving as written on the label.</w:t>
            </w:r>
            <w:r w:rsidDel="00000000" w:rsidR="00000000" w:rsidRPr="00000000">
              <w:rPr>
                <w:rtl w:val="0"/>
              </w:rPr>
            </w:r>
          </w:p>
          <w:p w:rsidR="00000000" w:rsidDel="00000000" w:rsidP="00000000" w:rsidRDefault="00000000" w:rsidRPr="00000000" w14:paraId="0000005D">
            <w:pPr>
              <w:numPr>
                <w:ilvl w:val="1"/>
                <w:numId w:val="2"/>
              </w:numPr>
              <w:ind w:left="144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Build a proportion where 280 calories per 1 serving is equal to x amount of calories per 4 servings. Multiply top and bottom by 4 to get a common denominator and reveal the answer of 1,120 calories per 4 servings (the whole container)</w:t>
            </w:r>
            <w:r w:rsidDel="00000000" w:rsidR="00000000" w:rsidRPr="00000000">
              <w:rPr>
                <w:rtl w:val="0"/>
              </w:rPr>
            </w:r>
          </w:p>
          <w:p w:rsidR="00000000" w:rsidDel="00000000" w:rsidP="00000000" w:rsidRDefault="00000000" w:rsidRPr="00000000" w14:paraId="0000005E">
            <w:pPr>
              <w:numPr>
                <w:ilvl w:val="1"/>
                <w:numId w:val="2"/>
              </w:numPr>
              <w:ind w:left="144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Provide a second example looking at the total fat in the lasagna. Explain that instead of the whole container, now we are finding out how much fat is in 2 servings. Explain that 2 servings (2/4) is the same as half of the container.  </w:t>
            </w:r>
            <w:r w:rsidDel="00000000" w:rsidR="00000000" w:rsidRPr="00000000">
              <w:rPr>
                <w:rtl w:val="0"/>
              </w:rPr>
            </w:r>
          </w:p>
          <w:p w:rsidR="00000000" w:rsidDel="00000000" w:rsidP="00000000" w:rsidRDefault="00000000" w:rsidRPr="00000000" w14:paraId="0000005F">
            <w:pPr>
              <w:numPr>
                <w:ilvl w:val="1"/>
                <w:numId w:val="2"/>
              </w:numPr>
              <w:ind w:left="144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Build a proportion where 9 grams of fat per 1 serving is equal x amount of fat per 2 servings. Multiply top and bottom by 2 to get a common denominator and reveal that the answer is 18 grams of fat in 2 servings (half the container).</w:t>
            </w:r>
            <w:r w:rsidDel="00000000" w:rsidR="00000000" w:rsidRPr="00000000">
              <w:rPr>
                <w:rtl w:val="0"/>
              </w:rPr>
            </w:r>
          </w:p>
          <w:p w:rsidR="00000000" w:rsidDel="00000000" w:rsidP="00000000" w:rsidRDefault="00000000" w:rsidRPr="00000000" w14:paraId="00000060">
            <w:pPr>
              <w:numPr>
                <w:ilvl w:val="1"/>
                <w:numId w:val="2"/>
              </w:numPr>
              <w:ind w:left="144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Next, students use the </w:t>
            </w:r>
            <w:hyperlink r:id="rId18">
              <w:r w:rsidDel="00000000" w:rsidR="00000000" w:rsidRPr="00000000">
                <w:rPr>
                  <w:rFonts w:ascii="Century Gothic" w:cs="Century Gothic" w:eastAsia="Century Gothic" w:hAnsi="Century Gothic"/>
                  <w:color w:val="1155cc"/>
                  <w:sz w:val="24"/>
                  <w:szCs w:val="24"/>
                  <w:u w:val="single"/>
                  <w:rtl w:val="0"/>
                </w:rPr>
                <w:t xml:space="preserve">Nutrition Facts Label worksheet</w:t>
              </w:r>
            </w:hyperlink>
            <w:r w:rsidDel="00000000" w:rsidR="00000000" w:rsidRPr="00000000">
              <w:rPr>
                <w:rFonts w:ascii="Century Gothic" w:cs="Century Gothic" w:eastAsia="Century Gothic" w:hAnsi="Century Gothic"/>
                <w:sz w:val="24"/>
                <w:szCs w:val="24"/>
                <w:rtl w:val="0"/>
              </w:rPr>
              <w:t xml:space="preserve"> to practice on their own. Share the questions and labels on the screen if students do not have access to the documents. (</w:t>
            </w:r>
            <w:hyperlink r:id="rId19">
              <w:r w:rsidDel="00000000" w:rsidR="00000000" w:rsidRPr="00000000">
                <w:rPr>
                  <w:rFonts w:ascii="Century Gothic" w:cs="Century Gothic" w:eastAsia="Century Gothic" w:hAnsi="Century Gothic"/>
                  <w:color w:val="1155cc"/>
                  <w:sz w:val="24"/>
                  <w:szCs w:val="24"/>
                  <w:u w:val="single"/>
                  <w:rtl w:val="0"/>
                </w:rPr>
                <w:t xml:space="preserve">Worksheet Answer Key</w:t>
              </w:r>
            </w:hyperlink>
            <w:r w:rsidDel="00000000" w:rsidR="00000000" w:rsidRPr="00000000">
              <w:rPr>
                <w:rFonts w:ascii="Century Gothic" w:cs="Century Gothic" w:eastAsia="Century Gothic" w:hAnsi="Century Gothic"/>
                <w:sz w:val="24"/>
                <w:szCs w:val="24"/>
                <w:rtl w:val="0"/>
              </w:rPr>
              <w:t xml:space="preserve">)</w:t>
            </w:r>
            <w:r w:rsidDel="00000000" w:rsidR="00000000" w:rsidRPr="00000000">
              <w:rPr>
                <w:rtl w:val="0"/>
              </w:rPr>
            </w:r>
          </w:p>
          <w:p w:rsidR="00000000" w:rsidDel="00000000" w:rsidP="00000000" w:rsidRDefault="00000000" w:rsidRPr="00000000" w14:paraId="00000061">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6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Reflection</w:t>
            </w:r>
          </w:p>
          <w:p w:rsidR="00000000" w:rsidDel="00000000" w:rsidP="00000000" w:rsidRDefault="00000000" w:rsidRPr="00000000" w14:paraId="00000063">
            <w:pPr>
              <w:numPr>
                <w:ilvl w:val="0"/>
                <w:numId w:val="9"/>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Students are encouraged to think about the impact that paying attention to nutrition facts labels can have on public health. Pose guiding questions:</w:t>
            </w:r>
            <w:r w:rsidDel="00000000" w:rsidR="00000000" w:rsidRPr="00000000">
              <w:rPr>
                <w:rtl w:val="0"/>
              </w:rPr>
            </w:r>
          </w:p>
          <w:p w:rsidR="00000000" w:rsidDel="00000000" w:rsidP="00000000" w:rsidRDefault="00000000" w:rsidRPr="00000000" w14:paraId="00000064">
            <w:pPr>
              <w:numPr>
                <w:ilvl w:val="1"/>
                <w:numId w:val="9"/>
              </w:numPr>
              <w:ind w:left="144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How is healthy nutrition important to preventing and treating illness?</w:t>
            </w:r>
            <w:r w:rsidDel="00000000" w:rsidR="00000000" w:rsidRPr="00000000">
              <w:rPr>
                <w:rtl w:val="0"/>
              </w:rPr>
            </w:r>
          </w:p>
          <w:p w:rsidR="00000000" w:rsidDel="00000000" w:rsidP="00000000" w:rsidRDefault="00000000" w:rsidRPr="00000000" w14:paraId="00000065">
            <w:pPr>
              <w:numPr>
                <w:ilvl w:val="1"/>
                <w:numId w:val="9"/>
              </w:numPr>
              <w:ind w:left="144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Have you ever had a conversation with your healthcare provider about nutrition facts labels? How can doctors and nurses be intentional about this?</w:t>
            </w:r>
            <w:r w:rsidDel="00000000" w:rsidR="00000000" w:rsidRPr="00000000">
              <w:rPr>
                <w:rtl w:val="0"/>
              </w:rPr>
            </w:r>
          </w:p>
          <w:p w:rsidR="00000000" w:rsidDel="00000000" w:rsidP="00000000" w:rsidRDefault="00000000" w:rsidRPr="00000000" w14:paraId="00000066">
            <w:pPr>
              <w:numPr>
                <w:ilvl w:val="1"/>
                <w:numId w:val="9"/>
              </w:numPr>
              <w:ind w:left="144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After this lesson, what change might you make in your nutrition? </w:t>
            </w:r>
            <w:r w:rsidDel="00000000" w:rsidR="00000000" w:rsidRPr="00000000">
              <w:rPr>
                <w:rtl w:val="0"/>
              </w:rPr>
            </w:r>
          </w:p>
          <w:p w:rsidR="00000000" w:rsidDel="00000000" w:rsidP="00000000" w:rsidRDefault="00000000" w:rsidRPr="00000000" w14:paraId="00000067">
            <w:pPr>
              <w:numPr>
                <w:ilvl w:val="0"/>
                <w:numId w:val="9"/>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Students can reflect on all or some of the questions.</w:t>
            </w:r>
          </w:p>
          <w:p w:rsidR="00000000" w:rsidDel="00000000" w:rsidP="00000000" w:rsidRDefault="00000000" w:rsidRPr="00000000" w14:paraId="00000068">
            <w:pPr>
              <w:numPr>
                <w:ilvl w:val="0"/>
                <w:numId w:val="9"/>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Students can write in a notebook, create a picture or collage representing the importance of nutrition in healthcare, or discuss the guiding questions with a friend or family member.</w:t>
            </w:r>
          </w:p>
          <w:p w:rsidR="00000000" w:rsidDel="00000000" w:rsidP="00000000" w:rsidRDefault="00000000" w:rsidRPr="00000000" w14:paraId="00000069">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 </w:t>
            </w:r>
          </w:p>
        </w:tc>
      </w:tr>
      <w:tr>
        <w:trPr>
          <w:cantSplit w:val="0"/>
          <w:trHeight w:val="576" w:hRule="atLeast"/>
          <w:tblHeader w:val="0"/>
        </w:trPr>
        <w:tc>
          <w:tcPr>
            <w:gridSpan w:val="4"/>
            <w:shd w:fill="ebd3ea" w:val="clear"/>
          </w:tcPr>
          <w:p w:rsidR="00000000" w:rsidDel="00000000" w:rsidP="00000000" w:rsidRDefault="00000000" w:rsidRPr="00000000" w14:paraId="0000006D">
            <w:pPr>
              <w:rPr>
                <w:rFonts w:ascii="Century Gothic" w:cs="Century Gothic" w:eastAsia="Century Gothic" w:hAnsi="Century Gothic"/>
                <w:b w:val="1"/>
                <w:bCs w:val="1"/>
                <w:sz w:val="24"/>
                <w:szCs w:val="24"/>
              </w:rPr>
            </w:pPr>
            <w:r w:rsidDel="00000000" w:rsidR="00000000" w:rsidRPr="00000000">
              <w:rPr>
                <w:rtl w:val="0"/>
              </w:rPr>
            </w:r>
          </w:p>
          <w:p w:rsidR="00000000" w:rsidDel="00000000" w:rsidP="00000000" w:rsidRDefault="00000000" w:rsidRPr="00000000" w14:paraId="0000006E">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Learners vary in the way that they react to and grasp information that is presented to them. Click on </w:t>
            </w:r>
            <w:hyperlink r:id="rId20">
              <w:r w:rsidDel="00000000" w:rsidR="00000000" w:rsidRPr="00000000">
                <w:rPr>
                  <w:rFonts w:ascii="Century Gothic" w:cs="Century Gothic" w:eastAsia="Century Gothic" w:hAnsi="Century Gothic"/>
                  <w:b w:val="1"/>
                  <w:bCs w:val="1"/>
                  <w:color w:val="0563c1"/>
                  <w:sz w:val="24"/>
                  <w:szCs w:val="24"/>
                  <w:u w:val="single"/>
                  <w:rtl w:val="0"/>
                </w:rPr>
                <w:t xml:space="preserve">Multiple Means of Representation</w:t>
              </w:r>
            </w:hyperlink>
            <w:r w:rsidDel="00000000" w:rsidR="00000000" w:rsidRPr="00000000">
              <w:rPr>
                <w:rFonts w:ascii="Century Gothic" w:cs="Century Gothic" w:eastAsia="Century Gothic" w:hAnsi="Century Gothic"/>
                <w:b w:val="1"/>
                <w:bCs w:val="1"/>
                <w:sz w:val="24"/>
                <w:szCs w:val="24"/>
                <w:rtl w:val="0"/>
              </w:rPr>
              <w:t xml:space="preserve"> to explore ways that you can provide options for representing content and explain how you are including this below: </w:t>
            </w:r>
          </w:p>
          <w:p w:rsidR="00000000" w:rsidDel="00000000" w:rsidP="00000000" w:rsidRDefault="00000000" w:rsidRPr="00000000" w14:paraId="0000006F">
            <w:pPr>
              <w:numPr>
                <w:ilvl w:val="0"/>
                <w:numId w:val="6"/>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Information is also shared in video format with visual slides to represent the process of calculating average.</w:t>
            </w:r>
          </w:p>
          <w:p w:rsidR="00000000" w:rsidDel="00000000" w:rsidP="00000000" w:rsidRDefault="00000000" w:rsidRPr="00000000" w14:paraId="00000070">
            <w:pPr>
              <w:numPr>
                <w:ilvl w:val="0"/>
                <w:numId w:val="6"/>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Definitions of key words are given with flashcards as a separate link for students to work through at their own pace.</w:t>
            </w:r>
          </w:p>
          <w:p w:rsidR="00000000" w:rsidDel="00000000" w:rsidP="00000000" w:rsidRDefault="00000000" w:rsidRPr="00000000" w14:paraId="00000071">
            <w:pPr>
              <w:numPr>
                <w:ilvl w:val="0"/>
                <w:numId w:val="6"/>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Teaching videos can be replayed, stopped, or slowed down. The student video has closed captions.</w:t>
            </w:r>
          </w:p>
          <w:p w:rsidR="00000000" w:rsidDel="00000000" w:rsidP="00000000" w:rsidRDefault="00000000" w:rsidRPr="00000000" w14:paraId="00000072">
            <w:pPr>
              <w:numPr>
                <w:ilvl w:val="0"/>
                <w:numId w:val="6"/>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Accompanying documents are provided for printing and writing on. Alternatively, students can record answers on their own paper and view questions on the screen.</w:t>
            </w:r>
          </w:p>
        </w:tc>
      </w:tr>
      <w:tr>
        <w:trPr>
          <w:cantSplit w:val="0"/>
          <w:trHeight w:val="576" w:hRule="atLeast"/>
          <w:tblHeader w:val="0"/>
        </w:trPr>
        <w:tc>
          <w:tcPr>
            <w:gridSpan w:val="4"/>
          </w:tcPr>
          <w:p w:rsidR="00000000" w:rsidDel="00000000" w:rsidP="00000000" w:rsidRDefault="00000000" w:rsidRPr="00000000" w14:paraId="00000076">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Performance Tasks:</w:t>
            </w:r>
          </w:p>
          <w:p w:rsidR="00000000" w:rsidDel="00000000" w:rsidP="00000000" w:rsidRDefault="00000000" w:rsidRPr="00000000" w14:paraId="00000077">
            <w:pPr>
              <w:numPr>
                <w:ilvl w:val="0"/>
                <w:numId w:val="3"/>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Learners reflect on the impact of nutrition labels on public health in whatever form they desire (written, verbal, numerically).</w:t>
            </w:r>
          </w:p>
          <w:p w:rsidR="00000000" w:rsidDel="00000000" w:rsidP="00000000" w:rsidRDefault="00000000" w:rsidRPr="00000000" w14:paraId="00000078">
            <w:pPr>
              <w:numPr>
                <w:ilvl w:val="0"/>
                <w:numId w:val="3"/>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Learners are encouraged to read, verbalize, or write the definitions of the vocabulary words. Learners can also use the link to practice the flash cards in any way that works for them (with movement, with a family member, etc.)</w:t>
            </w:r>
          </w:p>
          <w:p w:rsidR="00000000" w:rsidDel="00000000" w:rsidP="00000000" w:rsidRDefault="00000000" w:rsidRPr="00000000" w14:paraId="00000079">
            <w:pPr>
              <w:numPr>
                <w:ilvl w:val="0"/>
                <w:numId w:val="3"/>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Learners complete the </w:t>
            </w:r>
            <w:r w:rsidDel="00000000" w:rsidR="00000000" w:rsidRPr="00000000">
              <w:rPr>
                <w:rFonts w:ascii="Century Gothic" w:cs="Century Gothic" w:eastAsia="Century Gothic" w:hAnsi="Century Gothic"/>
                <w:i w:val="1"/>
                <w:iCs w:val="1"/>
                <w:sz w:val="24"/>
                <w:szCs w:val="24"/>
                <w:rtl w:val="0"/>
              </w:rPr>
              <w:t xml:space="preserve">Nutrition Facts Label: Ratios and Proportions worksheet.</w:t>
            </w:r>
            <w:r w:rsidDel="00000000" w:rsidR="00000000" w:rsidRPr="00000000">
              <w:rPr>
                <w:rtl w:val="0"/>
              </w:rPr>
            </w:r>
          </w:p>
          <w:p w:rsidR="00000000" w:rsidDel="00000000" w:rsidP="00000000" w:rsidRDefault="00000000" w:rsidRPr="00000000" w14:paraId="0000007A">
            <w:pPr>
              <w:ind w:left="720" w:firstLine="0"/>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shd w:fill="bdd7ee" w:val="clear"/>
          </w:tcPr>
          <w:p w:rsidR="00000000" w:rsidDel="00000000" w:rsidP="00000000" w:rsidRDefault="00000000" w:rsidRPr="00000000" w14:paraId="0000007E">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Learners best express what they know in different ways. Click on </w:t>
            </w:r>
            <w:hyperlink r:id="rId21">
              <w:r w:rsidDel="00000000" w:rsidR="00000000" w:rsidRPr="00000000">
                <w:rPr>
                  <w:rFonts w:ascii="Century Gothic" w:cs="Century Gothic" w:eastAsia="Century Gothic" w:hAnsi="Century Gothic"/>
                  <w:b w:val="1"/>
                  <w:bCs w:val="1"/>
                  <w:color w:val="0563c1"/>
                  <w:sz w:val="24"/>
                  <w:szCs w:val="24"/>
                  <w:u w:val="single"/>
                  <w:rtl w:val="0"/>
                </w:rPr>
                <w:t xml:space="preserve">Multiple Means of Action &amp; Expression</w:t>
              </w:r>
            </w:hyperlink>
            <w:r w:rsidDel="00000000" w:rsidR="00000000" w:rsidRPr="00000000">
              <w:rPr>
                <w:rFonts w:ascii="Century Gothic" w:cs="Century Gothic" w:eastAsia="Century Gothic" w:hAnsi="Century Gothic"/>
                <w:b w:val="1"/>
                <w:bCs w:val="1"/>
                <w:sz w:val="24"/>
                <w:szCs w:val="24"/>
                <w:rtl w:val="0"/>
              </w:rPr>
              <w:t xml:space="preserve"> to explore ways to offer options for learners and explain how you are doing this below:</w:t>
            </w:r>
          </w:p>
          <w:p w:rsidR="00000000" w:rsidDel="00000000" w:rsidP="00000000" w:rsidRDefault="00000000" w:rsidRPr="00000000" w14:paraId="0000007F">
            <w:pPr>
              <w:numPr>
                <w:ilvl w:val="0"/>
                <w:numId w:val="10"/>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Learners can access the student video on YouTube and complete the activities at their own pace.</w:t>
            </w:r>
          </w:p>
          <w:p w:rsidR="00000000" w:rsidDel="00000000" w:rsidP="00000000" w:rsidRDefault="00000000" w:rsidRPr="00000000" w14:paraId="00000080">
            <w:pPr>
              <w:numPr>
                <w:ilvl w:val="0"/>
                <w:numId w:val="10"/>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Online worksheet materials available</w:t>
            </w:r>
          </w:p>
          <w:p w:rsidR="00000000" w:rsidDel="00000000" w:rsidP="00000000" w:rsidRDefault="00000000" w:rsidRPr="00000000" w14:paraId="00000081">
            <w:pPr>
              <w:numPr>
                <w:ilvl w:val="0"/>
                <w:numId w:val="10"/>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Learners can practice the vocabulary in multiple modes (flashcards, quiz, games, etc.)</w:t>
            </w:r>
          </w:p>
          <w:p w:rsidR="00000000" w:rsidDel="00000000" w:rsidP="00000000" w:rsidRDefault="00000000" w:rsidRPr="00000000" w14:paraId="00000082">
            <w:pPr>
              <w:rPr>
                <w:rFonts w:ascii="Century Gothic" w:cs="Century Gothic" w:eastAsia="Century Gothic" w:hAnsi="Century Gothic"/>
                <w:b w:val="1"/>
                <w:bCs w:val="1"/>
                <w:sz w:val="24"/>
                <w:szCs w:val="24"/>
              </w:rPr>
            </w:pPr>
            <w:r w:rsidDel="00000000" w:rsidR="00000000" w:rsidRPr="00000000">
              <w:rPr>
                <w:rtl w:val="0"/>
              </w:rPr>
            </w:r>
          </w:p>
        </w:tc>
      </w:tr>
      <w:tr>
        <w:trPr>
          <w:cantSplit w:val="0"/>
          <w:trHeight w:val="710" w:hRule="atLeast"/>
          <w:tblHeader w:val="0"/>
        </w:trPr>
        <w:tc>
          <w:tcPr>
            <w:gridSpan w:val="4"/>
            <w:shd w:fill="ffffff" w:val="clear"/>
          </w:tcPr>
          <w:p w:rsidR="00000000" w:rsidDel="00000000" w:rsidP="00000000" w:rsidRDefault="00000000" w:rsidRPr="00000000" w14:paraId="00000086">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Notes:</w:t>
            </w:r>
          </w:p>
          <w:p w:rsidR="00000000" w:rsidDel="00000000" w:rsidP="00000000" w:rsidRDefault="00000000" w:rsidRPr="00000000" w14:paraId="00000087">
            <w:pPr>
              <w:numPr>
                <w:ilvl w:val="0"/>
                <w:numId w:val="5"/>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The student video on YouTube can be shared in the classroom learning management system or sent by text/email as a resource for students who were absent during this lesson. </w:t>
            </w:r>
          </w:p>
          <w:p w:rsidR="00000000" w:rsidDel="00000000" w:rsidP="00000000" w:rsidRDefault="00000000" w:rsidRPr="00000000" w14:paraId="00000088">
            <w:pPr>
              <w:numPr>
                <w:ilvl w:val="0"/>
                <w:numId w:val="5"/>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Any learner can listen to and watch the student video or the supplemental Healthcare Professional video to reinforce their learning and expand their understanding of the nutrition facts label and proper communication between patient and provider.</w:t>
            </w:r>
          </w:p>
          <w:p w:rsidR="00000000" w:rsidDel="00000000" w:rsidP="00000000" w:rsidRDefault="00000000" w:rsidRPr="00000000" w14:paraId="00000089">
            <w:pPr>
              <w:ind w:left="720" w:firstLine="0"/>
              <w:rPr>
                <w:rFonts w:ascii="Century Gothic" w:cs="Century Gothic" w:eastAsia="Century Gothic" w:hAnsi="Century Gothic"/>
                <w:sz w:val="24"/>
                <w:szCs w:val="24"/>
              </w:rPr>
            </w:pPr>
            <w:r w:rsidDel="00000000" w:rsidR="00000000" w:rsidRPr="00000000">
              <w:rPr>
                <w:rtl w:val="0"/>
              </w:rPr>
            </w:r>
          </w:p>
        </w:tc>
      </w:tr>
    </w:tbl>
    <w:p w:rsidR="00000000" w:rsidDel="00000000" w:rsidP="00000000" w:rsidRDefault="00000000" w:rsidRPr="00000000" w14:paraId="0000008D">
      <w:pPr>
        <w:rPr>
          <w:rFonts w:ascii="Century Gothic" w:cs="Century Gothic" w:eastAsia="Century Gothic" w:hAnsi="Century Gothic"/>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C2232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E61AD9"/>
    <w:rPr>
      <w:color w:val="0563c1" w:themeColor="hyperlink"/>
      <w:u w:val="single"/>
    </w:rPr>
  </w:style>
  <w:style w:type="character" w:styleId="textlayer--absolute" w:customStyle="1">
    <w:name w:val="textlayer--absolute"/>
    <w:basedOn w:val="DefaultParagraphFont"/>
    <w:rsid w:val="00E300C5"/>
  </w:style>
  <w:style w:type="character" w:styleId="UnresolvedMention">
    <w:name w:val="Unresolved Mention"/>
    <w:basedOn w:val="DefaultParagraphFont"/>
    <w:uiPriority w:val="99"/>
    <w:semiHidden w:val="1"/>
    <w:unhideWhenUsed w:val="1"/>
    <w:rsid w:val="00C07912"/>
    <w:rPr>
      <w:color w:val="605e5c"/>
      <w:shd w:color="auto" w:fill="e1dfdd" w:val="clear"/>
    </w:rPr>
  </w:style>
  <w:style w:type="character" w:styleId="FollowedHyperlink">
    <w:name w:val="FollowedHyperlink"/>
    <w:basedOn w:val="DefaultParagraphFont"/>
    <w:uiPriority w:val="99"/>
    <w:semiHidden w:val="1"/>
    <w:unhideWhenUsed w:val="1"/>
    <w:rsid w:val="00C07912"/>
    <w:rPr>
      <w:color w:val="954f72" w:themeColor="followedHyperlink"/>
      <w:u w:val="single"/>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udlguidelines.cast.org/representation" TargetMode="External"/><Relationship Id="rId11" Type="http://schemas.openxmlformats.org/officeDocument/2006/relationships/hyperlink" Target="https://www.youtube.com/watch?v=LUpN2zsj53A" TargetMode="External"/><Relationship Id="rId10" Type="http://schemas.openxmlformats.org/officeDocument/2006/relationships/hyperlink" Target="https://www.youtube.com/watch?v=LUpN2zsj53A" TargetMode="External"/><Relationship Id="rId21" Type="http://schemas.openxmlformats.org/officeDocument/2006/relationships/hyperlink" Target="https://udlguidelines.cast.org/action-expression" TargetMode="External"/><Relationship Id="rId13" Type="http://schemas.openxmlformats.org/officeDocument/2006/relationships/hyperlink" Target="https://illinois.pbslearningmedia.org/resource/midlit11.math.splprop/ratio-and-proportional-reasoning-food-labels/" TargetMode="External"/><Relationship Id="rId12" Type="http://schemas.openxmlformats.org/officeDocument/2006/relationships/hyperlink" Target="https://wordwall.net/resource/106156982"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presentation/d/1NwWtHg9YIiTJ9nE5D41ZnYjYWcHS7mpQsvaxyiLwel0/copy" TargetMode="External"/><Relationship Id="rId15" Type="http://schemas.openxmlformats.org/officeDocument/2006/relationships/hyperlink" Target="https://wordwall.net/resource/106156982" TargetMode="External"/><Relationship Id="rId14" Type="http://schemas.openxmlformats.org/officeDocument/2006/relationships/hyperlink" Target="https://cdn.agclassroom.org/media/uploads/2018/08/18/Nutrition_Fact_label_cards.pdf" TargetMode="External"/><Relationship Id="rId17" Type="http://schemas.openxmlformats.org/officeDocument/2006/relationships/hyperlink" Target="https://www.youtube.com/watch?v=LUpN2zsj53A" TargetMode="External"/><Relationship Id="rId16" Type="http://schemas.openxmlformats.org/officeDocument/2006/relationships/hyperlink" Target="https://www.youtube.com/watch?v=LUpN2zsj53A" TargetMode="External"/><Relationship Id="rId5" Type="http://schemas.openxmlformats.org/officeDocument/2006/relationships/styles" Target="styles.xml"/><Relationship Id="rId19" Type="http://schemas.openxmlformats.org/officeDocument/2006/relationships/hyperlink" Target="https://docs.google.com/document/d/1Vb5i2mnJvU5XjfINFdzKpNs8CT_9iQXs9uP3DdGG2qo/copy" TargetMode="External"/><Relationship Id="rId6" Type="http://schemas.openxmlformats.org/officeDocument/2006/relationships/customXml" Target="../customXML/item1.xml"/><Relationship Id="rId18" Type="http://schemas.openxmlformats.org/officeDocument/2006/relationships/hyperlink" Target="https://docs.google.com/document/d/1iSjylMK7IULC92A3_VgRAECs_Y7fKCujBLlA85cXlwA/copy" TargetMode="External"/><Relationship Id="rId7" Type="http://schemas.openxmlformats.org/officeDocument/2006/relationships/hyperlink" Target="https://www.illinoisworknet.com/DownloadPrint/ILEssentialEmployabilitySkills-Handout.pdf" TargetMode="External"/><Relationship Id="rId8" Type="http://schemas.openxmlformats.org/officeDocument/2006/relationships/hyperlink" Target="https://udlguidelines.cast.org/engagemen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7vt3oHmmwEyLFk3ZiO26rpOHJw==">CgMxLjA4AHIhMTBNMDlDWm5nT0FPRFA3UXBsWXplaS0tX01CcU5aMWhZ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2021-06-08T23:21:00Z</dcterms:created>
  <dc:creator>CIAESC</dc:creator>
</cp:coreProperties>
</file>